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795"/>
        <w:gridCol w:w="10795"/>
      </w:tblGrid>
      <w:tr w:rsidR="003139FD" w:rsidRPr="00AB49BC" w14:paraId="742E9A69" w14:textId="77777777" w:rsidTr="00F25AA3">
        <w:trPr>
          <w:tblHeader/>
        </w:trPr>
        <w:tc>
          <w:tcPr>
            <w:tcW w:w="10795" w:type="dxa"/>
            <w:shd w:val="clear" w:color="auto" w:fill="000000" w:themeFill="text1"/>
          </w:tcPr>
          <w:p w14:paraId="5701EA66" w14:textId="77777777" w:rsidR="003139FD" w:rsidRPr="00AB49BC" w:rsidRDefault="003139FD" w:rsidP="00F25AA3">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14:paraId="7F8A3560" w14:textId="41EF63AF" w:rsidR="003139FD" w:rsidRPr="00AB49BC" w:rsidRDefault="003139FD" w:rsidP="001367EE">
            <w:pPr>
              <w:keepLines/>
              <w:spacing w:before="120" w:after="120"/>
              <w:jc w:val="center"/>
              <w:rPr>
                <w:b/>
                <w:sz w:val="28"/>
              </w:rPr>
            </w:pPr>
            <w:r w:rsidRPr="00AB49BC">
              <w:rPr>
                <w:b/>
                <w:sz w:val="28"/>
              </w:rPr>
              <w:t>Proposed Electoral Area Official Com</w:t>
            </w:r>
            <w:r>
              <w:rPr>
                <w:b/>
                <w:sz w:val="28"/>
              </w:rPr>
              <w:t>munity Plan (OCP) Bylaw No.</w:t>
            </w:r>
            <w:r w:rsidR="001367EE">
              <w:rPr>
                <w:b/>
                <w:sz w:val="28"/>
              </w:rPr>
              <w:t>30</w:t>
            </w:r>
            <w:r w:rsidR="00F12722">
              <w:rPr>
                <w:b/>
                <w:sz w:val="28"/>
              </w:rPr>
              <w:t>10, 2023 (using draft 2023-04-25</w:t>
            </w:r>
            <w:r>
              <w:rPr>
                <w:b/>
                <w:sz w:val="28"/>
              </w:rPr>
              <w:t>)</w:t>
            </w:r>
          </w:p>
        </w:tc>
      </w:tr>
      <w:tr w:rsidR="003139FD" w:rsidRPr="00AB49BC" w14:paraId="2BF0CE72" w14:textId="77777777" w:rsidTr="00F25AA3">
        <w:tc>
          <w:tcPr>
            <w:tcW w:w="10795" w:type="dxa"/>
          </w:tcPr>
          <w:p w14:paraId="660E959B" w14:textId="32AA0F82" w:rsidR="00967F83" w:rsidRPr="00967F83" w:rsidRDefault="00AB0905" w:rsidP="00967F83">
            <w:pPr>
              <w:keepNext/>
              <w:tabs>
                <w:tab w:val="num" w:pos="851"/>
              </w:tabs>
              <w:spacing w:before="240" w:after="60"/>
              <w:outlineLvl w:val="0"/>
              <w:rPr>
                <w:rFonts w:ascii="Calibri" w:eastAsia="Times New Roman" w:hAnsi="Calibri" w:cs="Arial"/>
                <w:b/>
                <w:bCs/>
                <w:kern w:val="32"/>
                <w:sz w:val="36"/>
                <w:szCs w:val="32"/>
              </w:rPr>
            </w:pPr>
            <w:r>
              <w:rPr>
                <w:rFonts w:ascii="Calibri" w:eastAsia="Times New Roman" w:hAnsi="Calibri" w:cs="Arial"/>
                <w:b/>
                <w:bCs/>
                <w:kern w:val="32"/>
                <w:sz w:val="36"/>
                <w:szCs w:val="32"/>
              </w:rPr>
              <w:t>13</w:t>
            </w:r>
            <w:r w:rsidR="006D2321">
              <w:rPr>
                <w:rFonts w:ascii="Calibri" w:eastAsia="Times New Roman" w:hAnsi="Calibri" w:cs="Arial"/>
                <w:b/>
                <w:bCs/>
                <w:kern w:val="32"/>
                <w:sz w:val="36"/>
                <w:szCs w:val="32"/>
              </w:rPr>
              <w:t xml:space="preserve">.0  </w:t>
            </w:r>
            <w:r>
              <w:rPr>
                <w:rFonts w:ascii="Calibri" w:eastAsia="Times New Roman" w:hAnsi="Calibri" w:cs="Arial"/>
                <w:b/>
                <w:bCs/>
                <w:kern w:val="32"/>
                <w:sz w:val="36"/>
                <w:szCs w:val="32"/>
              </w:rPr>
              <w:t xml:space="preserve">COMMERCIAL </w:t>
            </w:r>
          </w:p>
          <w:p w14:paraId="2A10B754" w14:textId="5A50CB07" w:rsidR="002E5A0B" w:rsidRPr="007B5431" w:rsidRDefault="002E5A0B" w:rsidP="006D2321">
            <w:pPr>
              <w:spacing w:before="120"/>
              <w:jc w:val="both"/>
              <w:rPr>
                <w:sz w:val="24"/>
              </w:rPr>
            </w:pPr>
          </w:p>
        </w:tc>
        <w:tc>
          <w:tcPr>
            <w:tcW w:w="10795" w:type="dxa"/>
          </w:tcPr>
          <w:p w14:paraId="5D1FE714" w14:textId="0AF7B24D" w:rsidR="003139FD" w:rsidRPr="008563A3" w:rsidRDefault="00855AE0" w:rsidP="00855AE0">
            <w:pPr>
              <w:spacing w:before="120"/>
              <w:ind w:left="709"/>
              <w:rPr>
                <w:rFonts w:ascii="Calibri" w:hAnsi="Calibri" w:cs="Calibri"/>
                <w:b/>
                <w:sz w:val="40"/>
                <w:szCs w:val="40"/>
              </w:rPr>
            </w:pPr>
            <w:r>
              <w:rPr>
                <w:rFonts w:ascii="Calibri" w:hAnsi="Calibri" w:cs="Calibri"/>
                <w:b/>
                <w:sz w:val="40"/>
                <w:szCs w:val="40"/>
              </w:rPr>
              <w:t>13</w:t>
            </w:r>
            <w:r w:rsidR="008563A3" w:rsidRPr="008563A3">
              <w:rPr>
                <w:rFonts w:ascii="Calibri" w:hAnsi="Calibri" w:cs="Calibri"/>
                <w:b/>
                <w:sz w:val="40"/>
                <w:szCs w:val="40"/>
              </w:rPr>
              <w:t xml:space="preserve">.0 </w:t>
            </w:r>
            <w:r w:rsidR="008563A3">
              <w:rPr>
                <w:rFonts w:ascii="Calibri" w:hAnsi="Calibri" w:cs="Calibri"/>
                <w:b/>
                <w:sz w:val="40"/>
                <w:szCs w:val="40"/>
              </w:rPr>
              <w:t xml:space="preserve">  </w:t>
            </w:r>
            <w:r>
              <w:rPr>
                <w:rFonts w:ascii="Calibri" w:hAnsi="Calibri" w:cs="Calibri"/>
                <w:b/>
                <w:sz w:val="40"/>
                <w:szCs w:val="40"/>
              </w:rPr>
              <w:t xml:space="preserve">COMMERCIAL </w:t>
            </w:r>
            <w:r w:rsidR="00FD1B33">
              <w:rPr>
                <w:rFonts w:ascii="Calibri" w:hAnsi="Calibri" w:cs="Calibri"/>
                <w:b/>
                <w:sz w:val="40"/>
                <w:szCs w:val="40"/>
              </w:rPr>
              <w:t xml:space="preserve"> </w:t>
            </w:r>
            <w:r w:rsidR="008563A3" w:rsidRPr="008563A3">
              <w:rPr>
                <w:rFonts w:ascii="Calibri" w:hAnsi="Calibri" w:cs="Calibri"/>
                <w:b/>
                <w:sz w:val="40"/>
                <w:szCs w:val="40"/>
              </w:rPr>
              <w:t xml:space="preserve"> </w:t>
            </w:r>
          </w:p>
        </w:tc>
      </w:tr>
      <w:tr w:rsidR="003139FD" w:rsidRPr="00AB49BC" w14:paraId="76A42ED5" w14:textId="77777777" w:rsidTr="00F25AA3">
        <w:tc>
          <w:tcPr>
            <w:tcW w:w="10795" w:type="dxa"/>
          </w:tcPr>
          <w:p w14:paraId="13CB65AF" w14:textId="32D8EE0A" w:rsidR="00CA5D14" w:rsidRPr="00CA5D14" w:rsidRDefault="00AB0905" w:rsidP="00CA5D14">
            <w:pPr>
              <w:keepNext/>
              <w:numPr>
                <w:ilvl w:val="1"/>
                <w:numId w:val="0"/>
              </w:numPr>
              <w:tabs>
                <w:tab w:val="num" w:pos="709"/>
              </w:tabs>
              <w:ind w:left="1002" w:hanging="1002"/>
              <w:outlineLvl w:val="1"/>
              <w:rPr>
                <w:rFonts w:ascii="Calibri" w:eastAsia="Times New Roman" w:hAnsi="Calibri" w:cs="Arial"/>
                <w:b/>
                <w:bCs/>
                <w:iCs/>
                <w:sz w:val="24"/>
                <w:szCs w:val="24"/>
              </w:rPr>
            </w:pPr>
            <w:bookmarkStart w:id="0" w:name="_Toc33435825"/>
            <w:r>
              <w:rPr>
                <w:rFonts w:ascii="Calibri" w:eastAsia="Times New Roman" w:hAnsi="Calibri" w:cs="Arial"/>
                <w:b/>
                <w:bCs/>
                <w:iCs/>
                <w:sz w:val="24"/>
                <w:szCs w:val="24"/>
              </w:rPr>
              <w:t>13</w:t>
            </w:r>
            <w:r w:rsidR="00CA5D14">
              <w:rPr>
                <w:rFonts w:ascii="Calibri" w:eastAsia="Times New Roman" w:hAnsi="Calibri" w:cs="Arial"/>
                <w:b/>
                <w:bCs/>
                <w:iCs/>
                <w:sz w:val="24"/>
                <w:szCs w:val="24"/>
              </w:rPr>
              <w:t xml:space="preserve">.1    </w:t>
            </w:r>
            <w:r w:rsidR="00CA5D14" w:rsidRPr="00CA5D14">
              <w:rPr>
                <w:rFonts w:ascii="Calibri" w:eastAsia="Times New Roman" w:hAnsi="Calibri" w:cs="Arial"/>
                <w:b/>
                <w:bCs/>
                <w:iCs/>
                <w:sz w:val="24"/>
                <w:szCs w:val="24"/>
              </w:rPr>
              <w:t>Background</w:t>
            </w:r>
            <w:bookmarkEnd w:id="0"/>
          </w:p>
          <w:p w14:paraId="374C97DD" w14:textId="77777777" w:rsidR="00AB0905" w:rsidRPr="00AB0905" w:rsidRDefault="00AB0905" w:rsidP="00AB0905">
            <w:pPr>
              <w:tabs>
                <w:tab w:val="left" w:pos="-1440"/>
              </w:tabs>
              <w:spacing w:before="120"/>
              <w:ind w:left="851" w:right="176"/>
              <w:jc w:val="both"/>
              <w:rPr>
                <w:rFonts w:ascii="Calibri" w:eastAsia="Times New Roman" w:hAnsi="Calibri" w:cs="Calibri"/>
                <w:b/>
                <w:bCs/>
                <w:sz w:val="24"/>
                <w:szCs w:val="24"/>
              </w:rPr>
            </w:pPr>
            <w:r w:rsidRPr="00AB0905">
              <w:rPr>
                <w:rFonts w:ascii="Calibri" w:eastAsia="Times New Roman" w:hAnsi="Calibri" w:cs="Calibri"/>
                <w:bCs/>
                <w:sz w:val="24"/>
                <w:szCs w:val="24"/>
              </w:rPr>
              <w:t xml:space="preserve">Traditional commercial development in the Plan area was generally limited to the Naramata Village Centre designation, however, a thriving service industry centred </w:t>
            </w:r>
            <w:proofErr w:type="gramStart"/>
            <w:r w:rsidRPr="00AB0905">
              <w:rPr>
                <w:rFonts w:ascii="Calibri" w:eastAsia="Times New Roman" w:hAnsi="Calibri" w:cs="Calibri"/>
                <w:bCs/>
                <w:sz w:val="24"/>
                <w:szCs w:val="24"/>
              </w:rPr>
              <w:t>around</w:t>
            </w:r>
            <w:proofErr w:type="gramEnd"/>
            <w:r w:rsidRPr="00AB0905">
              <w:rPr>
                <w:rFonts w:ascii="Calibri" w:eastAsia="Times New Roman" w:hAnsi="Calibri" w:cs="Calibri"/>
                <w:bCs/>
                <w:sz w:val="24"/>
                <w:szCs w:val="24"/>
              </w:rPr>
              <w:t xml:space="preserve"> the wineries of Naramata has supplanted this, offering visitors and locals varied eating, drinking, recreational and accommodation opportunities on agricultural lands.</w:t>
            </w:r>
          </w:p>
          <w:p w14:paraId="106ABD53" w14:textId="77777777" w:rsidR="00AB0905" w:rsidRPr="00AB0905" w:rsidRDefault="00AB0905" w:rsidP="00AB0905">
            <w:pPr>
              <w:tabs>
                <w:tab w:val="left" w:pos="-1440"/>
              </w:tabs>
              <w:spacing w:before="120"/>
              <w:ind w:left="851" w:right="176"/>
              <w:jc w:val="both"/>
              <w:rPr>
                <w:rFonts w:ascii="Calibri" w:eastAsia="Times New Roman" w:hAnsi="Calibri" w:cs="Calibri"/>
                <w:b/>
                <w:bCs/>
                <w:sz w:val="24"/>
                <w:szCs w:val="24"/>
              </w:rPr>
            </w:pPr>
            <w:r w:rsidRPr="00AB0905">
              <w:rPr>
                <w:rFonts w:ascii="Calibri" w:eastAsia="Times New Roman" w:hAnsi="Calibri" w:cs="Calibri"/>
                <w:bCs/>
                <w:sz w:val="24"/>
                <w:szCs w:val="24"/>
              </w:rPr>
              <w:t xml:space="preserve">The Plan will continue, however, to recognize commercial and tourist commercial developments under the same Commercial land use designation and as occurring on lands outside of the Agricultural Land Reserve (ALR). </w:t>
            </w:r>
          </w:p>
          <w:p w14:paraId="69EDC9EE" w14:textId="77777777" w:rsidR="00AB0905" w:rsidRPr="00AB0905" w:rsidRDefault="00AB0905" w:rsidP="00AB0905">
            <w:pPr>
              <w:spacing w:before="120"/>
              <w:ind w:left="851"/>
              <w:jc w:val="both"/>
              <w:rPr>
                <w:rFonts w:ascii="Calibri" w:eastAsia="Times New Roman" w:hAnsi="Calibri" w:cs="Arial"/>
                <w:sz w:val="24"/>
                <w:szCs w:val="24"/>
              </w:rPr>
            </w:pPr>
            <w:r w:rsidRPr="00AB0905">
              <w:rPr>
                <w:rFonts w:ascii="Calibri" w:eastAsia="Times New Roman" w:hAnsi="Calibri" w:cs="Calibri"/>
                <w:bCs/>
                <w:sz w:val="24"/>
                <w:szCs w:val="24"/>
              </w:rPr>
              <w:t>The Plan recognizes that large scale service, industrial, and commercial development will be directed to Primary Growth Areas, such as the City of Penticton, as they are better able to function as regional service centers</w:t>
            </w:r>
            <w:r w:rsidRPr="00AB0905">
              <w:rPr>
                <w:rFonts w:ascii="Calibri" w:eastAsia="Times New Roman" w:hAnsi="Calibri" w:cs="Arial"/>
                <w:sz w:val="24"/>
                <w:szCs w:val="24"/>
              </w:rPr>
              <w:t>.</w:t>
            </w:r>
          </w:p>
          <w:p w14:paraId="0A5F5EAA" w14:textId="7A65F7F2" w:rsidR="00171C8E" w:rsidRPr="00E271B0" w:rsidRDefault="00171C8E" w:rsidP="00AB0905">
            <w:pPr>
              <w:spacing w:before="120"/>
              <w:rPr>
                <w:sz w:val="24"/>
                <w:szCs w:val="24"/>
              </w:rPr>
            </w:pPr>
            <w:bookmarkStart w:id="1" w:name="_GoBack"/>
            <w:bookmarkEnd w:id="1"/>
          </w:p>
        </w:tc>
        <w:tc>
          <w:tcPr>
            <w:tcW w:w="10795" w:type="dxa"/>
          </w:tcPr>
          <w:p w14:paraId="3CF310E8" w14:textId="5344F669" w:rsidR="003B5A88" w:rsidRPr="003B5A88" w:rsidRDefault="00E83746" w:rsidP="003B5A88">
            <w:pPr>
              <w:keepNext/>
              <w:numPr>
                <w:ilvl w:val="1"/>
                <w:numId w:val="0"/>
              </w:numPr>
              <w:tabs>
                <w:tab w:val="num" w:pos="709"/>
              </w:tabs>
              <w:outlineLvl w:val="1"/>
              <w:rPr>
                <w:rFonts w:ascii="Calibri" w:eastAsia="Times New Roman" w:hAnsi="Calibri" w:cs="Calibri"/>
                <w:b/>
                <w:bCs/>
                <w:iCs/>
                <w:sz w:val="26"/>
                <w:szCs w:val="28"/>
              </w:rPr>
            </w:pPr>
            <w:bookmarkStart w:id="2" w:name="_Toc132709457"/>
            <w:r>
              <w:rPr>
                <w:rFonts w:ascii="Calibri" w:eastAsia="Times New Roman" w:hAnsi="Calibri" w:cs="Calibri"/>
                <w:b/>
                <w:bCs/>
                <w:iCs/>
                <w:sz w:val="26"/>
                <w:szCs w:val="28"/>
              </w:rPr>
              <w:t>1</w:t>
            </w:r>
            <w:r w:rsidR="00855AE0">
              <w:rPr>
                <w:rFonts w:ascii="Calibri" w:eastAsia="Times New Roman" w:hAnsi="Calibri" w:cs="Calibri"/>
                <w:b/>
                <w:bCs/>
                <w:iCs/>
                <w:sz w:val="26"/>
                <w:szCs w:val="28"/>
              </w:rPr>
              <w:t>3</w:t>
            </w:r>
            <w:r w:rsidR="003B5A88">
              <w:rPr>
                <w:rFonts w:ascii="Calibri" w:eastAsia="Times New Roman" w:hAnsi="Calibri" w:cs="Calibri"/>
                <w:b/>
                <w:bCs/>
                <w:iCs/>
                <w:sz w:val="26"/>
                <w:szCs w:val="28"/>
              </w:rPr>
              <w:t xml:space="preserve">.1    </w:t>
            </w:r>
            <w:r w:rsidR="003B5A88" w:rsidRPr="003B5A88">
              <w:rPr>
                <w:rFonts w:ascii="Calibri" w:eastAsia="Times New Roman" w:hAnsi="Calibri" w:cs="Calibri"/>
                <w:b/>
                <w:bCs/>
                <w:iCs/>
                <w:sz w:val="26"/>
                <w:szCs w:val="28"/>
              </w:rPr>
              <w:t>Background</w:t>
            </w:r>
            <w:bookmarkEnd w:id="2"/>
            <w:r w:rsidR="003B5A88" w:rsidRPr="003B5A88">
              <w:rPr>
                <w:rFonts w:ascii="Calibri" w:eastAsia="Times New Roman" w:hAnsi="Calibri" w:cs="Calibri"/>
                <w:b/>
                <w:bCs/>
                <w:iCs/>
                <w:sz w:val="26"/>
                <w:szCs w:val="28"/>
              </w:rPr>
              <w:t xml:space="preserve">  </w:t>
            </w:r>
          </w:p>
          <w:p w14:paraId="3A37D639" w14:textId="77777777" w:rsidR="00855AE0" w:rsidRPr="00855AE0" w:rsidRDefault="00855AE0" w:rsidP="00855AE0">
            <w:pPr>
              <w:tabs>
                <w:tab w:val="left" w:pos="-1440"/>
              </w:tabs>
              <w:spacing w:before="120"/>
              <w:ind w:left="709" w:right="176"/>
              <w:rPr>
                <w:rFonts w:ascii="Calibri" w:eastAsia="Times New Roman" w:hAnsi="Calibri" w:cs="Calibri"/>
                <w:b/>
                <w:bCs/>
                <w:sz w:val="24"/>
                <w:szCs w:val="24"/>
              </w:rPr>
            </w:pPr>
            <w:r w:rsidRPr="00855AE0">
              <w:rPr>
                <w:rFonts w:ascii="Calibri" w:eastAsia="Times New Roman" w:hAnsi="Calibri" w:cs="Calibri"/>
                <w:bCs/>
                <w:sz w:val="24"/>
                <w:szCs w:val="24"/>
              </w:rPr>
              <w:t xml:space="preserve">Traditional commercial development in the Plan area was generally limited to the Naramata Village Centre designation, however, a thriving service industry centred </w:t>
            </w:r>
            <w:proofErr w:type="gramStart"/>
            <w:r w:rsidRPr="00855AE0">
              <w:rPr>
                <w:rFonts w:ascii="Calibri" w:eastAsia="Times New Roman" w:hAnsi="Calibri" w:cs="Calibri"/>
                <w:bCs/>
                <w:sz w:val="24"/>
                <w:szCs w:val="24"/>
              </w:rPr>
              <w:t>around</w:t>
            </w:r>
            <w:proofErr w:type="gramEnd"/>
            <w:r w:rsidRPr="00855AE0">
              <w:rPr>
                <w:rFonts w:ascii="Calibri" w:eastAsia="Times New Roman" w:hAnsi="Calibri" w:cs="Calibri"/>
                <w:bCs/>
                <w:sz w:val="24"/>
                <w:szCs w:val="24"/>
              </w:rPr>
              <w:t xml:space="preserve"> the wineries of Naramata has supplanted this, offering visitors and locals varied eating, drinking, recreational and accommodation opportunities on agricultural lands.</w:t>
            </w:r>
          </w:p>
          <w:p w14:paraId="0B2228B2" w14:textId="77777777" w:rsidR="00855AE0" w:rsidRPr="00855AE0" w:rsidRDefault="00855AE0" w:rsidP="00855AE0">
            <w:pPr>
              <w:tabs>
                <w:tab w:val="left" w:pos="-1440"/>
              </w:tabs>
              <w:spacing w:before="120"/>
              <w:ind w:left="709" w:right="176"/>
              <w:rPr>
                <w:rFonts w:ascii="Calibri" w:eastAsia="Times New Roman" w:hAnsi="Calibri" w:cs="Calibri"/>
                <w:b/>
                <w:bCs/>
                <w:sz w:val="24"/>
                <w:szCs w:val="24"/>
              </w:rPr>
            </w:pPr>
            <w:r w:rsidRPr="00855AE0">
              <w:rPr>
                <w:rFonts w:ascii="Calibri" w:eastAsia="Times New Roman" w:hAnsi="Calibri" w:cs="Calibri"/>
                <w:bCs/>
                <w:sz w:val="24"/>
                <w:szCs w:val="24"/>
              </w:rPr>
              <w:t xml:space="preserve">The Plan will continue, however, to recognize commercial and tourist commercial developments under the Commercial land use designation and as occurring on lands outside of the Agricultural Land Reserve (ALR). </w:t>
            </w:r>
          </w:p>
          <w:p w14:paraId="387FDBED" w14:textId="77777777" w:rsidR="00855AE0" w:rsidRPr="00855AE0" w:rsidRDefault="00855AE0" w:rsidP="00855AE0">
            <w:pPr>
              <w:spacing w:before="120"/>
              <w:ind w:left="709"/>
              <w:rPr>
                <w:rFonts w:ascii="Calibri" w:eastAsia="Times New Roman" w:hAnsi="Calibri" w:cs="Calibri"/>
                <w:sz w:val="24"/>
                <w:szCs w:val="24"/>
              </w:rPr>
            </w:pPr>
            <w:r w:rsidRPr="00855AE0">
              <w:rPr>
                <w:rFonts w:ascii="Calibri" w:eastAsia="Times New Roman" w:hAnsi="Calibri" w:cs="Calibri"/>
                <w:bCs/>
                <w:sz w:val="24"/>
                <w:szCs w:val="24"/>
              </w:rPr>
              <w:t>The Plan recognizes that large scale service, industrial, and commercial development will be directed to Primary Growth Areas outside of the Plan area, such as the City of Penticton, as they are better able to function as regional service centers</w:t>
            </w:r>
            <w:r w:rsidRPr="00855AE0">
              <w:rPr>
                <w:rFonts w:ascii="Calibri" w:eastAsia="Times New Roman" w:hAnsi="Calibri" w:cs="Calibri"/>
                <w:sz w:val="24"/>
                <w:szCs w:val="24"/>
              </w:rPr>
              <w:t>.</w:t>
            </w:r>
          </w:p>
          <w:p w14:paraId="1C24F3D5" w14:textId="77777777" w:rsidR="00855AE0" w:rsidRPr="00855AE0" w:rsidRDefault="00855AE0" w:rsidP="00855AE0">
            <w:pPr>
              <w:spacing w:before="120"/>
              <w:ind w:left="709"/>
              <w:rPr>
                <w:rFonts w:ascii="Calibri" w:eastAsia="Times New Roman" w:hAnsi="Calibri" w:cs="Calibri"/>
                <w:sz w:val="24"/>
                <w:szCs w:val="24"/>
              </w:rPr>
            </w:pPr>
            <w:r w:rsidRPr="00855AE0">
              <w:rPr>
                <w:rFonts w:ascii="Calibri" w:eastAsia="Times New Roman" w:hAnsi="Calibri" w:cs="Calibri"/>
                <w:sz w:val="24"/>
                <w:szCs w:val="24"/>
              </w:rPr>
              <w:t xml:space="preserve">There is approximately only 1.2 ha of land currently designated as Commercial and is adjacent to Naramata Road and approximately 16.5 ha of designated as Tourist Commercial (CT) scattered within Lower Naramata, south of Okanagan Mountain Provincial Park, and near Chute Lake. </w:t>
            </w:r>
          </w:p>
          <w:p w14:paraId="4DB011B5" w14:textId="1C41EB0B" w:rsidR="00967F83" w:rsidRPr="00967F83" w:rsidRDefault="00967F83" w:rsidP="00855AE0">
            <w:pPr>
              <w:spacing w:before="120"/>
              <w:ind w:left="709"/>
              <w:rPr>
                <w:rFonts w:ascii="Calibri" w:eastAsia="Times New Roman" w:hAnsi="Calibri" w:cs="Calibri"/>
                <w:spacing w:val="-5"/>
                <w:sz w:val="24"/>
                <w:szCs w:val="24"/>
              </w:rPr>
            </w:pPr>
          </w:p>
        </w:tc>
      </w:tr>
      <w:tr w:rsidR="003139FD" w:rsidRPr="00AB49BC" w14:paraId="761A2945" w14:textId="77777777" w:rsidTr="00F25AA3">
        <w:tc>
          <w:tcPr>
            <w:tcW w:w="10795" w:type="dxa"/>
          </w:tcPr>
          <w:p w14:paraId="00C60765" w14:textId="0C2B1563" w:rsidR="00CA5D14" w:rsidRPr="00CA5D14" w:rsidRDefault="00CA5D14" w:rsidP="00CA5D14">
            <w:pPr>
              <w:keepNext/>
              <w:numPr>
                <w:ilvl w:val="1"/>
                <w:numId w:val="0"/>
              </w:numPr>
              <w:tabs>
                <w:tab w:val="num" w:pos="720"/>
                <w:tab w:val="num" w:pos="1002"/>
              </w:tabs>
              <w:jc w:val="both"/>
              <w:outlineLvl w:val="1"/>
              <w:rPr>
                <w:rFonts w:ascii="Calibri" w:eastAsia="Times New Roman" w:hAnsi="Calibri" w:cs="Arial"/>
                <w:b/>
                <w:bCs/>
                <w:iCs/>
                <w:sz w:val="24"/>
                <w:szCs w:val="24"/>
              </w:rPr>
            </w:pPr>
            <w:bookmarkStart w:id="3" w:name="_Toc117672612"/>
            <w:bookmarkStart w:id="4" w:name="_Toc125344973"/>
            <w:bookmarkStart w:id="5" w:name="_Toc33435826"/>
            <w:r>
              <w:rPr>
                <w:rFonts w:ascii="Calibri" w:eastAsia="Times New Roman" w:hAnsi="Calibri" w:cs="Arial"/>
                <w:b/>
                <w:bCs/>
                <w:iCs/>
                <w:sz w:val="24"/>
                <w:szCs w:val="24"/>
              </w:rPr>
              <w:t>1</w:t>
            </w:r>
            <w:r w:rsidR="00AB0905">
              <w:rPr>
                <w:rFonts w:ascii="Calibri" w:eastAsia="Times New Roman" w:hAnsi="Calibri" w:cs="Arial"/>
                <w:b/>
                <w:bCs/>
                <w:iCs/>
                <w:sz w:val="24"/>
                <w:szCs w:val="24"/>
              </w:rPr>
              <w:t>3</w:t>
            </w:r>
            <w:r>
              <w:rPr>
                <w:rFonts w:ascii="Calibri" w:eastAsia="Times New Roman" w:hAnsi="Calibri" w:cs="Arial"/>
                <w:b/>
                <w:bCs/>
                <w:iCs/>
                <w:sz w:val="24"/>
                <w:szCs w:val="24"/>
              </w:rPr>
              <w:t xml:space="preserve">.2     </w:t>
            </w:r>
            <w:r w:rsidRPr="00CA5D14">
              <w:rPr>
                <w:rFonts w:ascii="Calibri" w:eastAsia="Times New Roman" w:hAnsi="Calibri" w:cs="Arial"/>
                <w:b/>
                <w:bCs/>
                <w:iCs/>
                <w:sz w:val="24"/>
                <w:szCs w:val="24"/>
              </w:rPr>
              <w:t>Objectives</w:t>
            </w:r>
            <w:bookmarkEnd w:id="3"/>
            <w:bookmarkEnd w:id="4"/>
            <w:bookmarkEnd w:id="5"/>
          </w:p>
          <w:p w14:paraId="53DF5196" w14:textId="77777777" w:rsidR="00AB0905" w:rsidRPr="00AB0905" w:rsidRDefault="00AB0905" w:rsidP="00DB096E">
            <w:pPr>
              <w:numPr>
                <w:ilvl w:val="0"/>
                <w:numId w:val="3"/>
              </w:numPr>
              <w:tabs>
                <w:tab w:val="left" w:pos="-1440"/>
              </w:tabs>
              <w:spacing w:before="120"/>
              <w:ind w:left="1276" w:right="176" w:hanging="425"/>
              <w:jc w:val="both"/>
              <w:rPr>
                <w:rFonts w:ascii="Calibri" w:eastAsia="Times New Roman" w:hAnsi="Calibri" w:cs="Calibri"/>
                <w:bCs/>
                <w:sz w:val="24"/>
                <w:szCs w:val="24"/>
              </w:rPr>
            </w:pPr>
            <w:r w:rsidRPr="00AB0905">
              <w:rPr>
                <w:rFonts w:ascii="Calibri" w:eastAsia="Times New Roman" w:hAnsi="Calibri" w:cs="Times New Roman"/>
                <w:sz w:val="24"/>
                <w:szCs w:val="24"/>
              </w:rPr>
              <w:t>Maintain the current level of local commercial sites to serve the existing communities and tourists, and expand services as future growth may dictate</w:t>
            </w:r>
            <w:r w:rsidRPr="00AB0905">
              <w:rPr>
                <w:rFonts w:ascii="Calibri" w:eastAsia="Times New Roman" w:hAnsi="Calibri" w:cs="Calibri"/>
                <w:bCs/>
                <w:sz w:val="24"/>
                <w:szCs w:val="24"/>
              </w:rPr>
              <w:t>.</w:t>
            </w:r>
          </w:p>
          <w:p w14:paraId="3949BA83" w14:textId="77777777" w:rsidR="00AB0905" w:rsidRPr="00AB0905" w:rsidRDefault="00AB0905" w:rsidP="00DB096E">
            <w:pPr>
              <w:numPr>
                <w:ilvl w:val="0"/>
                <w:numId w:val="3"/>
              </w:numPr>
              <w:tabs>
                <w:tab w:val="left" w:pos="-1440"/>
              </w:tabs>
              <w:spacing w:before="120"/>
              <w:ind w:left="1276" w:right="176" w:hanging="425"/>
              <w:jc w:val="both"/>
              <w:rPr>
                <w:rFonts w:ascii="Calibri" w:eastAsia="Times New Roman" w:hAnsi="Calibri" w:cs="Calibri"/>
                <w:bCs/>
                <w:sz w:val="24"/>
                <w:szCs w:val="24"/>
              </w:rPr>
            </w:pPr>
            <w:r w:rsidRPr="00AB0905">
              <w:rPr>
                <w:rFonts w:ascii="Calibri" w:eastAsia="Times New Roman" w:hAnsi="Calibri" w:cs="Calibri"/>
                <w:bCs/>
                <w:sz w:val="24"/>
                <w:szCs w:val="24"/>
              </w:rPr>
              <w:t>Direct major commercial development to Primary Growth Areas.</w:t>
            </w:r>
          </w:p>
          <w:p w14:paraId="5C851751" w14:textId="77777777" w:rsidR="00AB0905" w:rsidRPr="00AB0905" w:rsidRDefault="00AB0905" w:rsidP="00DB096E">
            <w:pPr>
              <w:numPr>
                <w:ilvl w:val="0"/>
                <w:numId w:val="3"/>
              </w:numPr>
              <w:tabs>
                <w:tab w:val="left" w:pos="-1440"/>
              </w:tabs>
              <w:spacing w:before="120"/>
              <w:ind w:left="1276" w:right="176" w:hanging="425"/>
              <w:jc w:val="both"/>
              <w:rPr>
                <w:rFonts w:ascii="Calibri" w:eastAsia="Times New Roman" w:hAnsi="Calibri" w:cs="Calibri"/>
                <w:bCs/>
                <w:sz w:val="24"/>
                <w:szCs w:val="24"/>
              </w:rPr>
            </w:pPr>
            <w:r w:rsidRPr="00AB0905">
              <w:rPr>
                <w:rFonts w:ascii="Calibri" w:eastAsia="Times New Roman" w:hAnsi="Calibri" w:cs="Calibri"/>
                <w:bCs/>
                <w:sz w:val="24"/>
                <w:szCs w:val="24"/>
              </w:rPr>
              <w:t>Support existing and new recreation and resort commercial opportunities.</w:t>
            </w:r>
          </w:p>
          <w:p w14:paraId="78DC758F" w14:textId="6BE01C94" w:rsidR="00AB0905" w:rsidRDefault="00AB0905" w:rsidP="00DB096E">
            <w:pPr>
              <w:numPr>
                <w:ilvl w:val="0"/>
                <w:numId w:val="3"/>
              </w:numPr>
              <w:tabs>
                <w:tab w:val="left" w:pos="-1440"/>
              </w:tabs>
              <w:spacing w:before="120"/>
              <w:ind w:left="1276" w:right="176" w:hanging="425"/>
              <w:jc w:val="both"/>
              <w:rPr>
                <w:rFonts w:ascii="Calibri" w:eastAsia="Times New Roman" w:hAnsi="Calibri" w:cs="Calibri"/>
                <w:bCs/>
                <w:sz w:val="24"/>
                <w:szCs w:val="24"/>
              </w:rPr>
            </w:pPr>
            <w:r w:rsidRPr="00AB0905">
              <w:rPr>
                <w:rFonts w:ascii="Calibri" w:eastAsia="Times New Roman" w:hAnsi="Calibri" w:cs="Calibri"/>
                <w:bCs/>
                <w:sz w:val="24"/>
                <w:szCs w:val="24"/>
              </w:rPr>
              <w:t>To minimize land use incompatibility between commercial activities and surrounding land uses.</w:t>
            </w:r>
          </w:p>
          <w:p w14:paraId="0FB53AA7" w14:textId="16423235" w:rsidR="00AB0905" w:rsidRPr="00AB0905" w:rsidRDefault="00AB0905" w:rsidP="00DB096E">
            <w:pPr>
              <w:numPr>
                <w:ilvl w:val="0"/>
                <w:numId w:val="3"/>
              </w:numPr>
              <w:tabs>
                <w:tab w:val="left" w:pos="-1440"/>
              </w:tabs>
              <w:spacing w:before="120"/>
              <w:ind w:left="1276" w:right="176" w:hanging="425"/>
              <w:jc w:val="both"/>
              <w:rPr>
                <w:rFonts w:ascii="Calibri" w:eastAsia="Times New Roman" w:hAnsi="Calibri" w:cs="Calibri"/>
                <w:bCs/>
                <w:sz w:val="24"/>
                <w:szCs w:val="24"/>
              </w:rPr>
            </w:pPr>
            <w:r w:rsidRPr="00AB0905">
              <w:rPr>
                <w:rFonts w:ascii="Calibri" w:eastAsia="Times New Roman" w:hAnsi="Calibri" w:cs="Calibri"/>
                <w:bCs/>
                <w:sz w:val="24"/>
                <w:szCs w:val="24"/>
              </w:rPr>
              <w:t>To ensure the scale of all commercial developments harmonize with the natural surroundings and the rural character of the Plan area</w:t>
            </w:r>
          </w:p>
          <w:p w14:paraId="3118DE15" w14:textId="26153295" w:rsidR="003139FD" w:rsidRPr="006D5A6E" w:rsidRDefault="003139FD" w:rsidP="00AB0905">
            <w:pPr>
              <w:spacing w:before="120"/>
              <w:rPr>
                <w:rFonts w:cs="Arial"/>
                <w:sz w:val="24"/>
                <w:szCs w:val="24"/>
              </w:rPr>
            </w:pPr>
          </w:p>
        </w:tc>
        <w:tc>
          <w:tcPr>
            <w:tcW w:w="10795" w:type="dxa"/>
          </w:tcPr>
          <w:p w14:paraId="31D0281A" w14:textId="1B30B217" w:rsidR="001E645B" w:rsidRPr="0016681C" w:rsidRDefault="001E645B" w:rsidP="00DB096E">
            <w:pPr>
              <w:pStyle w:val="ListParagraph"/>
              <w:keepNext/>
              <w:numPr>
                <w:ilvl w:val="1"/>
                <w:numId w:val="9"/>
              </w:numPr>
              <w:tabs>
                <w:tab w:val="num" w:pos="709"/>
              </w:tabs>
              <w:spacing w:before="240" w:after="60"/>
              <w:outlineLvl w:val="1"/>
              <w:rPr>
                <w:rFonts w:ascii="Calibri" w:eastAsia="Times New Roman" w:hAnsi="Calibri" w:cs="Calibri"/>
                <w:b/>
                <w:bCs/>
                <w:iCs/>
                <w:sz w:val="24"/>
                <w:szCs w:val="24"/>
              </w:rPr>
            </w:pPr>
            <w:bookmarkStart w:id="6" w:name="_Toc42860593"/>
            <w:bookmarkStart w:id="7" w:name="_Toc44540308"/>
            <w:bookmarkStart w:id="8" w:name="_Toc60663646"/>
            <w:bookmarkStart w:id="9" w:name="_Toc132709458"/>
            <w:r w:rsidRPr="0016681C">
              <w:rPr>
                <w:rFonts w:ascii="Calibri" w:eastAsia="Times New Roman" w:hAnsi="Calibri" w:cs="Calibri"/>
                <w:b/>
                <w:bCs/>
                <w:iCs/>
                <w:sz w:val="24"/>
                <w:szCs w:val="24"/>
              </w:rPr>
              <w:t xml:space="preserve">  Objectives </w:t>
            </w:r>
          </w:p>
          <w:bookmarkEnd w:id="6"/>
          <w:bookmarkEnd w:id="7"/>
          <w:bookmarkEnd w:id="8"/>
          <w:bookmarkEnd w:id="9"/>
          <w:p w14:paraId="77921169" w14:textId="63B04911" w:rsidR="00855AE0" w:rsidRPr="0016681C" w:rsidRDefault="0016681C" w:rsidP="00DB096E">
            <w:pPr>
              <w:pStyle w:val="ListParagraph"/>
              <w:numPr>
                <w:ilvl w:val="0"/>
                <w:numId w:val="10"/>
              </w:numPr>
              <w:tabs>
                <w:tab w:val="left" w:pos="-1440"/>
              </w:tabs>
              <w:spacing w:before="120"/>
              <w:ind w:left="1145" w:right="176"/>
              <w:jc w:val="both"/>
              <w:rPr>
                <w:rFonts w:ascii="Calibri" w:eastAsia="Times New Roman" w:hAnsi="Calibri" w:cs="Calibri"/>
                <w:bCs/>
                <w:sz w:val="24"/>
                <w:szCs w:val="24"/>
              </w:rPr>
            </w:pPr>
            <w:r w:rsidRPr="0016681C">
              <w:rPr>
                <w:rFonts w:ascii="Calibri" w:eastAsia="Times New Roman" w:hAnsi="Calibri" w:cs="Calibri"/>
                <w:sz w:val="24"/>
                <w:szCs w:val="24"/>
              </w:rPr>
              <w:t>M</w:t>
            </w:r>
            <w:r w:rsidR="00855AE0" w:rsidRPr="0016681C">
              <w:rPr>
                <w:rFonts w:ascii="Calibri" w:eastAsia="Times New Roman" w:hAnsi="Calibri" w:cs="Calibri"/>
                <w:sz w:val="24"/>
                <w:szCs w:val="24"/>
              </w:rPr>
              <w:t>aintain the current level of local commercial sites to serve the existing communities and tourists, and expand services as future growth may dictate</w:t>
            </w:r>
            <w:r w:rsidR="00855AE0" w:rsidRPr="0016681C">
              <w:rPr>
                <w:rFonts w:ascii="Calibri" w:eastAsia="Times New Roman" w:hAnsi="Calibri" w:cs="Calibri"/>
                <w:bCs/>
                <w:sz w:val="24"/>
                <w:szCs w:val="24"/>
              </w:rPr>
              <w:t>.</w:t>
            </w:r>
          </w:p>
          <w:p w14:paraId="39B2EA2C" w14:textId="77777777" w:rsidR="00855AE0" w:rsidRPr="00855AE0" w:rsidRDefault="00855AE0" w:rsidP="00DB096E">
            <w:pPr>
              <w:numPr>
                <w:ilvl w:val="0"/>
                <w:numId w:val="10"/>
              </w:numPr>
              <w:tabs>
                <w:tab w:val="left" w:pos="-1440"/>
              </w:tabs>
              <w:spacing w:before="120"/>
              <w:ind w:left="1145" w:right="176"/>
              <w:jc w:val="both"/>
              <w:rPr>
                <w:rFonts w:ascii="Calibri" w:eastAsia="Times New Roman" w:hAnsi="Calibri" w:cs="Calibri"/>
                <w:bCs/>
                <w:sz w:val="24"/>
                <w:szCs w:val="24"/>
              </w:rPr>
            </w:pPr>
            <w:r w:rsidRPr="00855AE0">
              <w:rPr>
                <w:rFonts w:ascii="Calibri" w:eastAsia="Times New Roman" w:hAnsi="Calibri" w:cs="Calibri"/>
                <w:bCs/>
                <w:sz w:val="24"/>
                <w:szCs w:val="24"/>
              </w:rPr>
              <w:t>Direct major commercial development to Primary Growth Areas.</w:t>
            </w:r>
          </w:p>
          <w:p w14:paraId="1FCE6BBC" w14:textId="77777777" w:rsidR="00855AE0" w:rsidRPr="00855AE0" w:rsidRDefault="00855AE0" w:rsidP="00DB096E">
            <w:pPr>
              <w:numPr>
                <w:ilvl w:val="0"/>
                <w:numId w:val="10"/>
              </w:numPr>
              <w:tabs>
                <w:tab w:val="left" w:pos="-1440"/>
              </w:tabs>
              <w:spacing w:before="120"/>
              <w:ind w:left="1145" w:right="176"/>
              <w:jc w:val="both"/>
              <w:rPr>
                <w:rFonts w:ascii="Calibri" w:eastAsia="Times New Roman" w:hAnsi="Calibri" w:cs="Calibri"/>
                <w:bCs/>
                <w:sz w:val="24"/>
                <w:szCs w:val="24"/>
              </w:rPr>
            </w:pPr>
            <w:r w:rsidRPr="00855AE0">
              <w:rPr>
                <w:rFonts w:ascii="Calibri" w:eastAsia="Times New Roman" w:hAnsi="Calibri" w:cs="Calibri"/>
                <w:bCs/>
                <w:sz w:val="24"/>
                <w:szCs w:val="24"/>
              </w:rPr>
              <w:t>Support existing and new recreation and resort commercial opportunities.</w:t>
            </w:r>
          </w:p>
          <w:p w14:paraId="4D07C54A" w14:textId="77777777" w:rsidR="00855AE0" w:rsidRPr="00855AE0" w:rsidRDefault="00855AE0" w:rsidP="00DB096E">
            <w:pPr>
              <w:numPr>
                <w:ilvl w:val="0"/>
                <w:numId w:val="10"/>
              </w:numPr>
              <w:tabs>
                <w:tab w:val="left" w:pos="-1440"/>
              </w:tabs>
              <w:spacing w:before="120"/>
              <w:ind w:left="1145" w:right="176"/>
              <w:jc w:val="both"/>
              <w:rPr>
                <w:rFonts w:ascii="Calibri" w:eastAsia="Times New Roman" w:hAnsi="Calibri" w:cs="Calibri"/>
                <w:bCs/>
                <w:sz w:val="24"/>
                <w:szCs w:val="24"/>
              </w:rPr>
            </w:pPr>
            <w:r w:rsidRPr="00855AE0">
              <w:rPr>
                <w:rFonts w:ascii="Calibri" w:eastAsia="Times New Roman" w:hAnsi="Calibri" w:cs="Calibri"/>
                <w:bCs/>
                <w:sz w:val="24"/>
                <w:szCs w:val="24"/>
              </w:rPr>
              <w:t>To minimize land use incompatibility between commercial activities and surrounding land uses.</w:t>
            </w:r>
          </w:p>
          <w:p w14:paraId="3E28985A" w14:textId="77777777" w:rsidR="00855AE0" w:rsidRPr="00855AE0" w:rsidRDefault="00855AE0" w:rsidP="00DB096E">
            <w:pPr>
              <w:numPr>
                <w:ilvl w:val="0"/>
                <w:numId w:val="10"/>
              </w:numPr>
              <w:tabs>
                <w:tab w:val="left" w:pos="-1440"/>
              </w:tabs>
              <w:spacing w:before="120"/>
              <w:ind w:left="1145" w:right="176"/>
              <w:jc w:val="both"/>
              <w:rPr>
                <w:rFonts w:ascii="Calibri" w:eastAsia="Times New Roman" w:hAnsi="Calibri" w:cs="Calibri"/>
                <w:bCs/>
                <w:sz w:val="24"/>
                <w:szCs w:val="24"/>
              </w:rPr>
            </w:pPr>
            <w:r w:rsidRPr="00855AE0">
              <w:rPr>
                <w:rFonts w:ascii="Calibri" w:eastAsia="Times New Roman" w:hAnsi="Calibri" w:cs="Calibri"/>
                <w:bCs/>
                <w:sz w:val="24"/>
                <w:szCs w:val="24"/>
              </w:rPr>
              <w:t>To ensure the scale of all commercial developments harmonize with the natural surroundings and the rural character of the Plan area.</w:t>
            </w:r>
          </w:p>
          <w:p w14:paraId="53EE4000" w14:textId="3B1BF084" w:rsidR="003139FD" w:rsidRPr="00C12CC8" w:rsidRDefault="003139FD" w:rsidP="00855AE0">
            <w:pPr>
              <w:spacing w:before="120"/>
              <w:rPr>
                <w:rFonts w:ascii="Calibri" w:eastAsia="Times New Roman" w:hAnsi="Calibri" w:cs="Calibri"/>
                <w:spacing w:val="-5"/>
                <w:sz w:val="24"/>
                <w:szCs w:val="24"/>
              </w:rPr>
            </w:pPr>
          </w:p>
        </w:tc>
      </w:tr>
      <w:tr w:rsidR="00F12722" w:rsidRPr="00AB49BC" w14:paraId="7100F66A" w14:textId="77777777" w:rsidTr="00F25AA3">
        <w:tc>
          <w:tcPr>
            <w:tcW w:w="10795" w:type="dxa"/>
          </w:tcPr>
          <w:p w14:paraId="2DA04572" w14:textId="6D0DE399" w:rsidR="00AB0905" w:rsidRPr="00AB0905" w:rsidRDefault="00AB0905" w:rsidP="00AB0905">
            <w:pPr>
              <w:keepNext/>
              <w:numPr>
                <w:ilvl w:val="1"/>
                <w:numId w:val="0"/>
              </w:numPr>
              <w:tabs>
                <w:tab w:val="num" w:pos="720"/>
                <w:tab w:val="num" w:pos="1002"/>
              </w:tabs>
              <w:outlineLvl w:val="1"/>
              <w:rPr>
                <w:rFonts w:ascii="Calibri" w:eastAsia="Times New Roman" w:hAnsi="Calibri" w:cs="Arial"/>
                <w:b/>
                <w:bCs/>
                <w:iCs/>
                <w:sz w:val="24"/>
                <w:szCs w:val="24"/>
              </w:rPr>
            </w:pPr>
            <w:bookmarkStart w:id="10" w:name="_Toc33435844"/>
            <w:r>
              <w:rPr>
                <w:rFonts w:ascii="Calibri" w:eastAsia="Times New Roman" w:hAnsi="Calibri" w:cs="Calibri"/>
                <w:b/>
                <w:bCs/>
                <w:iCs/>
                <w:sz w:val="24"/>
                <w:szCs w:val="24"/>
              </w:rPr>
              <w:t xml:space="preserve">13.3    </w:t>
            </w:r>
            <w:r w:rsidRPr="00AB0905">
              <w:rPr>
                <w:rFonts w:ascii="Calibri" w:eastAsia="Times New Roman" w:hAnsi="Calibri" w:cs="Calibri"/>
                <w:b/>
                <w:bCs/>
                <w:iCs/>
                <w:sz w:val="24"/>
                <w:szCs w:val="24"/>
              </w:rPr>
              <w:t>Policies – General Commercial</w:t>
            </w:r>
            <w:bookmarkEnd w:id="10"/>
          </w:p>
          <w:p w14:paraId="7894E19B" w14:textId="77777777" w:rsidR="00AB0905" w:rsidRPr="00AB0905" w:rsidRDefault="00AB0905" w:rsidP="00AB0905">
            <w:pPr>
              <w:tabs>
                <w:tab w:val="left" w:pos="-1440"/>
              </w:tabs>
              <w:spacing w:before="120"/>
              <w:ind w:left="709" w:right="176"/>
              <w:jc w:val="both"/>
              <w:rPr>
                <w:rFonts w:ascii="Calibri" w:eastAsia="Times New Roman" w:hAnsi="Calibri" w:cs="Calibri"/>
                <w:b/>
                <w:bCs/>
                <w:sz w:val="24"/>
                <w:szCs w:val="24"/>
              </w:rPr>
            </w:pPr>
            <w:r w:rsidRPr="00AB0905">
              <w:rPr>
                <w:rFonts w:ascii="Calibri" w:eastAsia="Times New Roman" w:hAnsi="Calibri" w:cs="Calibri"/>
                <w:bCs/>
                <w:sz w:val="24"/>
                <w:szCs w:val="24"/>
              </w:rPr>
              <w:t>The Regional Board:</w:t>
            </w:r>
          </w:p>
          <w:p w14:paraId="029FE42F"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24"/>
                <w:szCs w:val="24"/>
              </w:rPr>
            </w:pPr>
            <w:r w:rsidRPr="00AB0905">
              <w:rPr>
                <w:rFonts w:ascii="Calibri" w:eastAsia="Times New Roman" w:hAnsi="Calibri" w:cs="Times New Roman"/>
                <w:sz w:val="24"/>
                <w:szCs w:val="24"/>
              </w:rPr>
              <w:t>Generally supports the use of lands designated Commercial (C) identified in Schedule ‘B’ (Official Community Plan Map) for smaller-scale, neighbourhood-serving commercial activities.</w:t>
            </w:r>
          </w:p>
          <w:p w14:paraId="4B018FB4"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28"/>
                <w:szCs w:val="24"/>
              </w:rPr>
            </w:pPr>
            <w:r w:rsidRPr="00AB0905">
              <w:rPr>
                <w:rFonts w:ascii="Calibri" w:eastAsia="Times New Roman" w:hAnsi="Calibri" w:cs="Times New Roman"/>
                <w:sz w:val="24"/>
                <w:szCs w:val="24"/>
              </w:rPr>
              <w:t>Limits local commercial uses to those existing designated areas, or to areas where they may be developed in conjunction with future residential or commercial tourism developments.</w:t>
            </w:r>
          </w:p>
          <w:p w14:paraId="15F2C1D0"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32"/>
                <w:szCs w:val="24"/>
              </w:rPr>
            </w:pPr>
            <w:r w:rsidRPr="00AB0905">
              <w:rPr>
                <w:rFonts w:ascii="Calibri" w:eastAsia="Times New Roman" w:hAnsi="Calibri" w:cs="Times New Roman"/>
                <w:sz w:val="24"/>
                <w:szCs w:val="24"/>
              </w:rPr>
              <w:lastRenderedPageBreak/>
              <w:t>Limits commercial development along Naramata Road to parcels already zoned accordingly, or designated as Commercial (C) or Commercial Tourist (CT).</w:t>
            </w:r>
          </w:p>
          <w:p w14:paraId="1D0215BE"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24"/>
                <w:szCs w:val="24"/>
              </w:rPr>
            </w:pPr>
            <w:r w:rsidRPr="00AB0905">
              <w:rPr>
                <w:rFonts w:ascii="Calibri" w:eastAsia="Times New Roman" w:hAnsi="Calibri" w:cs="Times New Roman"/>
                <w:sz w:val="24"/>
                <w:szCs w:val="24"/>
              </w:rPr>
              <w:t>Directs major office, service and general business commercial uses to Primary Growth Areas such as the City of Penticton, which have the necessary infrastructure and support services</w:t>
            </w:r>
            <w:r w:rsidRPr="00AB0905">
              <w:rPr>
                <w:rFonts w:ascii="Calibri" w:eastAsia="Times New Roman" w:hAnsi="Calibri" w:cs="Calibri"/>
                <w:bCs/>
                <w:sz w:val="24"/>
                <w:szCs w:val="24"/>
              </w:rPr>
              <w:t>.</w:t>
            </w:r>
          </w:p>
          <w:p w14:paraId="7408D0F1"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24"/>
                <w:szCs w:val="24"/>
              </w:rPr>
            </w:pPr>
            <w:r w:rsidRPr="00AB0905">
              <w:rPr>
                <w:rFonts w:ascii="Calibri" w:eastAsia="Times New Roman" w:hAnsi="Calibri" w:cs="Calibri"/>
                <w:sz w:val="24"/>
                <w:szCs w:val="24"/>
              </w:rPr>
              <w:t>Encourages an attractive and safe streetscapes by including provisions for adequate off-street parking requirements, landscaping and screening, height requirements, signage and drainage within the implementing bylaws for commercial uses.</w:t>
            </w:r>
          </w:p>
          <w:p w14:paraId="1144B33A"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24"/>
                <w:szCs w:val="24"/>
              </w:rPr>
            </w:pPr>
            <w:r w:rsidRPr="00AB0905">
              <w:rPr>
                <w:rFonts w:ascii="Calibri" w:eastAsia="Times New Roman" w:hAnsi="Calibri" w:cs="Times New Roman"/>
                <w:sz w:val="24"/>
                <w:szCs w:val="24"/>
              </w:rPr>
              <w:t>Encourages, through responsible environmental practices, future commercial development to locate away from Okanagan Lake and other watercourses in order to reduce human impacts on the lake, and in order to maintain and improve water quality and habitat.</w:t>
            </w:r>
          </w:p>
          <w:p w14:paraId="139C6D59" w14:textId="77777777" w:rsidR="00AB0905" w:rsidRPr="00AB0905" w:rsidRDefault="00AB0905" w:rsidP="00DB096E">
            <w:pPr>
              <w:numPr>
                <w:ilvl w:val="0"/>
                <w:numId w:val="2"/>
              </w:numPr>
              <w:tabs>
                <w:tab w:val="left" w:pos="-1440"/>
              </w:tabs>
              <w:spacing w:before="120"/>
              <w:ind w:left="1134" w:right="176" w:hanging="425"/>
              <w:jc w:val="both"/>
              <w:rPr>
                <w:rFonts w:ascii="Calibri" w:eastAsia="Times New Roman" w:hAnsi="Calibri" w:cs="Calibri"/>
                <w:bCs/>
                <w:sz w:val="24"/>
                <w:szCs w:val="24"/>
              </w:rPr>
            </w:pPr>
            <w:r w:rsidRPr="00AB0905">
              <w:rPr>
                <w:rFonts w:ascii="Calibri" w:eastAsia="Times New Roman" w:hAnsi="Calibri" w:cs="Arial"/>
                <w:bCs/>
                <w:sz w:val="24"/>
                <w:szCs w:val="24"/>
                <w:lang w:val="en-GB"/>
              </w:rPr>
              <w:t>Does not support the use of lands designated Commercial (C) for indoor cannabis production as the large-scale, industrial-style facilities required to accommodate this type of production are not considered an appropriate use of commercial lands</w:t>
            </w:r>
            <w:r w:rsidRPr="00AB0905">
              <w:rPr>
                <w:rFonts w:ascii="Calibri" w:eastAsia="Times New Roman" w:hAnsi="Calibri" w:cs="Calibri"/>
                <w:bCs/>
                <w:sz w:val="24"/>
                <w:szCs w:val="24"/>
              </w:rPr>
              <w:t>.</w:t>
            </w:r>
            <w:r w:rsidRPr="00AB0905">
              <w:rPr>
                <w:rFonts w:ascii="Calibri" w:eastAsia="Times New Roman" w:hAnsi="Calibri" w:cs="Calibri"/>
                <w:bCs/>
                <w:sz w:val="24"/>
                <w:szCs w:val="24"/>
                <w:vertAlign w:val="superscript"/>
              </w:rPr>
              <w:footnoteReference w:id="1"/>
            </w:r>
          </w:p>
          <w:p w14:paraId="2CAF3627" w14:textId="5A474D58" w:rsidR="00F12722" w:rsidRPr="006D5A6E" w:rsidRDefault="00F12722" w:rsidP="001E645B">
            <w:pPr>
              <w:spacing w:before="120"/>
              <w:jc w:val="both"/>
              <w:rPr>
                <w:rFonts w:cs="Arial"/>
                <w:sz w:val="24"/>
                <w:szCs w:val="24"/>
              </w:rPr>
            </w:pPr>
          </w:p>
        </w:tc>
        <w:tc>
          <w:tcPr>
            <w:tcW w:w="10795" w:type="dxa"/>
          </w:tcPr>
          <w:p w14:paraId="3FA8795C" w14:textId="333A1446" w:rsidR="00855AE0" w:rsidRPr="00855AE0" w:rsidRDefault="00855AE0" w:rsidP="00855AE0">
            <w:pPr>
              <w:keepNext/>
              <w:numPr>
                <w:ilvl w:val="1"/>
                <w:numId w:val="0"/>
              </w:numPr>
              <w:tabs>
                <w:tab w:val="num" w:pos="709"/>
              </w:tabs>
              <w:outlineLvl w:val="1"/>
              <w:rPr>
                <w:rFonts w:ascii="Calibri" w:eastAsia="Times New Roman" w:hAnsi="Calibri" w:cs="Calibri"/>
                <w:b/>
                <w:bCs/>
                <w:iCs/>
                <w:sz w:val="26"/>
                <w:szCs w:val="28"/>
              </w:rPr>
            </w:pPr>
            <w:bookmarkStart w:id="11" w:name="_Toc54495672"/>
            <w:bookmarkStart w:id="12" w:name="_Toc55110637"/>
            <w:bookmarkStart w:id="13" w:name="_Toc66683319"/>
            <w:bookmarkStart w:id="14" w:name="_Toc66767848"/>
            <w:bookmarkStart w:id="15" w:name="_Toc117672627"/>
            <w:bookmarkStart w:id="16" w:name="_Toc125344988"/>
            <w:bookmarkStart w:id="17" w:name="_Toc203988132"/>
            <w:bookmarkStart w:id="18" w:name="_Toc42860607"/>
            <w:bookmarkStart w:id="19" w:name="_Toc44540322"/>
            <w:bookmarkStart w:id="20" w:name="_Toc60663660"/>
            <w:bookmarkStart w:id="21" w:name="_Toc132709477"/>
            <w:r>
              <w:rPr>
                <w:rFonts w:ascii="Calibri" w:eastAsia="Times New Roman" w:hAnsi="Calibri" w:cs="Calibri"/>
                <w:b/>
                <w:bCs/>
                <w:iCs/>
                <w:sz w:val="26"/>
                <w:szCs w:val="28"/>
              </w:rPr>
              <w:lastRenderedPageBreak/>
              <w:t xml:space="preserve">13.3    </w:t>
            </w:r>
            <w:r w:rsidRPr="00855AE0">
              <w:rPr>
                <w:rFonts w:ascii="Calibri" w:eastAsia="Times New Roman" w:hAnsi="Calibri" w:cs="Calibri"/>
                <w:b/>
                <w:bCs/>
                <w:iCs/>
                <w:sz w:val="26"/>
                <w:szCs w:val="28"/>
              </w:rPr>
              <w:t>Policies</w:t>
            </w:r>
            <w:bookmarkEnd w:id="11"/>
            <w:bookmarkEnd w:id="12"/>
            <w:bookmarkEnd w:id="13"/>
            <w:bookmarkEnd w:id="14"/>
            <w:bookmarkEnd w:id="15"/>
            <w:bookmarkEnd w:id="16"/>
            <w:bookmarkEnd w:id="17"/>
            <w:r w:rsidRPr="00855AE0">
              <w:rPr>
                <w:rFonts w:ascii="Calibri" w:eastAsia="Times New Roman" w:hAnsi="Calibri" w:cs="Calibri"/>
                <w:b/>
                <w:bCs/>
                <w:iCs/>
                <w:sz w:val="26"/>
                <w:szCs w:val="28"/>
              </w:rPr>
              <w:t xml:space="preserve"> – General Commercial</w:t>
            </w:r>
            <w:bookmarkEnd w:id="18"/>
            <w:bookmarkEnd w:id="19"/>
            <w:bookmarkEnd w:id="20"/>
            <w:bookmarkEnd w:id="21"/>
          </w:p>
          <w:p w14:paraId="3D4493EA" w14:textId="77777777" w:rsidR="00855AE0" w:rsidRPr="00855AE0" w:rsidRDefault="00855AE0" w:rsidP="00855AE0">
            <w:pPr>
              <w:spacing w:before="120"/>
              <w:ind w:left="1260" w:hanging="540"/>
              <w:rPr>
                <w:rFonts w:ascii="Calibri" w:eastAsia="Times New Roman" w:hAnsi="Calibri" w:cs="Calibri"/>
                <w:spacing w:val="-5"/>
                <w:sz w:val="24"/>
                <w:szCs w:val="24"/>
              </w:rPr>
            </w:pPr>
            <w:r w:rsidRPr="00855AE0">
              <w:rPr>
                <w:rFonts w:ascii="Calibri" w:eastAsia="Times New Roman" w:hAnsi="Calibri" w:cs="Calibri"/>
                <w:spacing w:val="-5"/>
                <w:sz w:val="24"/>
                <w:szCs w:val="24"/>
              </w:rPr>
              <w:t>The Regional Board:</w:t>
            </w:r>
          </w:p>
          <w:p w14:paraId="0AEB5B84"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sz w:val="24"/>
                <w:szCs w:val="24"/>
              </w:rPr>
              <w:t>Generally supports the use of lands designated Commercial (C) identified in Schedule ‘B’ (Official Community Plan Map) for smaller-scale, neighbourhood-serving commercial activities.</w:t>
            </w:r>
          </w:p>
          <w:p w14:paraId="022292D3"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sz w:val="24"/>
                <w:szCs w:val="24"/>
              </w:rPr>
              <w:t>Limits local commercial uses to those existing designated areas, or to areas where they may be developed in conjunction with future residential or commercial tourism developments.</w:t>
            </w:r>
          </w:p>
          <w:p w14:paraId="03676127"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sz w:val="24"/>
                <w:szCs w:val="24"/>
              </w:rPr>
              <w:lastRenderedPageBreak/>
              <w:t>Limits commercial development along Naramata Road to parcels already zoned accordingly, or designated as Commercial (C) or Commercial Tourist (CT).</w:t>
            </w:r>
          </w:p>
          <w:p w14:paraId="3006C700"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sz w:val="24"/>
                <w:szCs w:val="24"/>
              </w:rPr>
              <w:t>Directs major office, service and general business commercial uses to Primary Growth Areas such as the City of Penticton, which have the necessary infrastructure and support services</w:t>
            </w:r>
            <w:r w:rsidRPr="00855AE0">
              <w:rPr>
                <w:rFonts w:ascii="Calibri" w:eastAsia="Times New Roman" w:hAnsi="Calibri" w:cs="Calibri"/>
                <w:bCs/>
                <w:sz w:val="24"/>
                <w:szCs w:val="24"/>
              </w:rPr>
              <w:t>.</w:t>
            </w:r>
          </w:p>
          <w:p w14:paraId="0F0D0D75"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sz w:val="24"/>
                <w:szCs w:val="24"/>
              </w:rPr>
              <w:t>Encourages, through responsible environmental practices, future commercial development to locate away from Okanagan Lake and other watercourses in order to reduce human impacts on the lake, and in order to maintain and improve water quality and habitat.</w:t>
            </w:r>
          </w:p>
          <w:p w14:paraId="02C9EA28"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bCs/>
                <w:sz w:val="24"/>
                <w:szCs w:val="24"/>
                <w:lang w:val="en-GB"/>
              </w:rPr>
              <w:t>Does not support the use of lands designated Commercial (C) for indoor cannabis production as the large-scale, industrial-style facilities required to accommodate this type of production are not considered an appropriate use of commercial lands</w:t>
            </w:r>
            <w:r w:rsidRPr="00855AE0">
              <w:rPr>
                <w:rFonts w:ascii="Calibri" w:eastAsia="Times New Roman" w:hAnsi="Calibri" w:cs="Calibri"/>
                <w:bCs/>
                <w:sz w:val="24"/>
                <w:szCs w:val="24"/>
              </w:rPr>
              <w:t xml:space="preserve">. </w:t>
            </w:r>
          </w:p>
          <w:p w14:paraId="1728B58C" w14:textId="77777777" w:rsidR="00855AE0" w:rsidRPr="00855AE0" w:rsidRDefault="00855AE0" w:rsidP="00DB096E">
            <w:pPr>
              <w:numPr>
                <w:ilvl w:val="0"/>
                <w:numId w:val="4"/>
              </w:numPr>
              <w:tabs>
                <w:tab w:val="left" w:pos="-1440"/>
              </w:tabs>
              <w:spacing w:before="120"/>
              <w:ind w:left="1134" w:right="176" w:hanging="425"/>
              <w:rPr>
                <w:rFonts w:ascii="Calibri" w:eastAsia="Times New Roman" w:hAnsi="Calibri" w:cs="Calibri"/>
                <w:bCs/>
                <w:sz w:val="24"/>
                <w:szCs w:val="24"/>
              </w:rPr>
            </w:pPr>
            <w:r w:rsidRPr="00855AE0">
              <w:rPr>
                <w:rFonts w:ascii="Calibri" w:eastAsia="Times New Roman" w:hAnsi="Calibri" w:cs="Calibri"/>
                <w:iCs/>
                <w:spacing w:val="-5"/>
                <w:sz w:val="24"/>
                <w:szCs w:val="24"/>
              </w:rPr>
              <w:t xml:space="preserve">Encourages </w:t>
            </w:r>
            <w:r w:rsidRPr="00855AE0">
              <w:rPr>
                <w:rFonts w:ascii="Calibri" w:eastAsia="Times New Roman" w:hAnsi="Calibri" w:cs="Calibri"/>
                <w:sz w:val="24"/>
                <w:szCs w:val="24"/>
              </w:rPr>
              <w:t xml:space="preserve">signage within provincial highway road dedications to comply with the Ministry of Transportation and Infrastructure’s </w:t>
            </w:r>
            <w:r w:rsidRPr="00855AE0">
              <w:rPr>
                <w:rFonts w:ascii="Calibri" w:eastAsia="Times New Roman" w:hAnsi="Calibri" w:cs="Calibri"/>
                <w:i/>
                <w:sz w:val="24"/>
                <w:szCs w:val="24"/>
              </w:rPr>
              <w:t>Policy Manual for Supplemental Signs</w:t>
            </w:r>
            <w:r w:rsidRPr="00855AE0">
              <w:rPr>
                <w:rFonts w:ascii="Calibri" w:eastAsia="Times New Roman" w:hAnsi="Calibri" w:cs="Calibri"/>
                <w:sz w:val="24"/>
                <w:szCs w:val="24"/>
              </w:rPr>
              <w:t xml:space="preserve"> (2005).</w:t>
            </w:r>
          </w:p>
          <w:p w14:paraId="58BD4B5C" w14:textId="0DA89BE1" w:rsidR="00F12722" w:rsidRPr="00E03C8E" w:rsidRDefault="00F12722" w:rsidP="00E4526C">
            <w:pPr>
              <w:tabs>
                <w:tab w:val="left" w:pos="720"/>
              </w:tabs>
              <w:spacing w:before="120"/>
              <w:rPr>
                <w:rFonts w:ascii="Calibri" w:hAnsi="Calibri" w:cs="Calibri"/>
                <w:spacing w:val="-5"/>
                <w:sz w:val="24"/>
                <w:szCs w:val="24"/>
              </w:rPr>
            </w:pPr>
          </w:p>
        </w:tc>
      </w:tr>
      <w:tr w:rsidR="003B5A88" w:rsidRPr="00AB49BC" w14:paraId="10392520" w14:textId="77777777" w:rsidTr="00F25AA3">
        <w:tc>
          <w:tcPr>
            <w:tcW w:w="10795" w:type="dxa"/>
          </w:tcPr>
          <w:p w14:paraId="5975BB64" w14:textId="73F5598B" w:rsidR="00AB0905" w:rsidRPr="00AB0905" w:rsidRDefault="00AB0905" w:rsidP="00AB0905">
            <w:pPr>
              <w:keepNext/>
              <w:numPr>
                <w:ilvl w:val="1"/>
                <w:numId w:val="0"/>
              </w:numPr>
              <w:tabs>
                <w:tab w:val="num" w:pos="720"/>
                <w:tab w:val="num" w:pos="1002"/>
              </w:tabs>
              <w:outlineLvl w:val="1"/>
              <w:rPr>
                <w:rFonts w:ascii="Calibri" w:eastAsia="Times New Roman" w:hAnsi="Calibri" w:cs="Arial"/>
                <w:b/>
                <w:bCs/>
                <w:iCs/>
                <w:sz w:val="24"/>
                <w:szCs w:val="24"/>
              </w:rPr>
            </w:pPr>
            <w:bookmarkStart w:id="22" w:name="_Toc33435845"/>
            <w:r>
              <w:rPr>
                <w:rFonts w:ascii="Calibri" w:eastAsia="Times New Roman" w:hAnsi="Calibri" w:cs="Calibri"/>
                <w:b/>
                <w:bCs/>
                <w:iCs/>
                <w:sz w:val="24"/>
                <w:szCs w:val="24"/>
              </w:rPr>
              <w:lastRenderedPageBreak/>
              <w:t xml:space="preserve">13.4    </w:t>
            </w:r>
            <w:r w:rsidRPr="00AB0905">
              <w:rPr>
                <w:rFonts w:ascii="Calibri" w:eastAsia="Times New Roman" w:hAnsi="Calibri" w:cs="Calibri"/>
                <w:b/>
                <w:bCs/>
                <w:iCs/>
                <w:sz w:val="24"/>
                <w:szCs w:val="24"/>
              </w:rPr>
              <w:t>Policies – Tourist Commercial</w:t>
            </w:r>
            <w:bookmarkEnd w:id="22"/>
          </w:p>
          <w:p w14:paraId="14A2D4AE" w14:textId="77777777" w:rsidR="00AB0905" w:rsidRPr="00AB0905" w:rsidRDefault="00AB0905" w:rsidP="00AB0905">
            <w:pPr>
              <w:tabs>
                <w:tab w:val="left" w:pos="-1440"/>
              </w:tabs>
              <w:spacing w:before="120"/>
              <w:ind w:left="709" w:right="176"/>
              <w:jc w:val="both"/>
              <w:rPr>
                <w:rFonts w:ascii="Calibri" w:eastAsia="Times New Roman" w:hAnsi="Calibri" w:cs="Calibri"/>
                <w:b/>
                <w:sz w:val="24"/>
                <w:szCs w:val="24"/>
              </w:rPr>
            </w:pPr>
            <w:r w:rsidRPr="00AB0905">
              <w:rPr>
                <w:rFonts w:ascii="Calibri" w:eastAsia="Times New Roman" w:hAnsi="Calibri" w:cs="Calibri"/>
                <w:sz w:val="24"/>
                <w:szCs w:val="24"/>
              </w:rPr>
              <w:t xml:space="preserve">The Regional Board: </w:t>
            </w:r>
          </w:p>
          <w:p w14:paraId="45C5D986" w14:textId="77777777" w:rsidR="00AB0905" w:rsidRPr="00AB0905" w:rsidRDefault="00AB0905" w:rsidP="00DB096E">
            <w:pPr>
              <w:numPr>
                <w:ilvl w:val="0"/>
                <w:numId w:val="7"/>
              </w:numPr>
              <w:tabs>
                <w:tab w:val="left" w:pos="-1440"/>
              </w:tabs>
              <w:spacing w:before="120"/>
              <w:ind w:left="1276"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Generally supports the use of lands designated Commercial Tourist (CT) identified in Schedule ‘B’ Official Community Plan Map for commercial services and activities catering to tourists, including campgrounds, resorts, RV parks, and golf courses. </w:t>
            </w:r>
          </w:p>
          <w:p w14:paraId="5236BA01" w14:textId="77777777" w:rsidR="00AB0905" w:rsidRPr="00AB0905" w:rsidRDefault="00AB0905" w:rsidP="00DB096E">
            <w:pPr>
              <w:numPr>
                <w:ilvl w:val="0"/>
                <w:numId w:val="7"/>
              </w:numPr>
              <w:tabs>
                <w:tab w:val="left" w:pos="-1440"/>
              </w:tabs>
              <w:spacing w:before="120"/>
              <w:ind w:left="1276"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Encourages open space recreation and resort commercial opportunities, such as guest ranches, trail rides and/or wilderness guides in areas designated as Resource Area provided they do not impact on abutting land uses and meet Watercourse Development and/or Environmentally Sensitive Development Permit Area requirements. </w:t>
            </w:r>
          </w:p>
          <w:p w14:paraId="188A876A" w14:textId="77777777" w:rsidR="00AB0905" w:rsidRPr="00AB0905" w:rsidRDefault="00AB0905" w:rsidP="00DB096E">
            <w:pPr>
              <w:numPr>
                <w:ilvl w:val="0"/>
                <w:numId w:val="7"/>
              </w:numPr>
              <w:tabs>
                <w:tab w:val="left" w:pos="-1440"/>
              </w:tabs>
              <w:spacing w:before="120"/>
              <w:ind w:left="1276"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May support proposed tourist and resort developments that: </w:t>
            </w:r>
          </w:p>
          <w:p w14:paraId="1579B930" w14:textId="77777777" w:rsidR="00AB0905" w:rsidRPr="00AB0905" w:rsidRDefault="00AB0905" w:rsidP="00DB096E">
            <w:pPr>
              <w:numPr>
                <w:ilvl w:val="0"/>
                <w:numId w:val="8"/>
              </w:numPr>
              <w:tabs>
                <w:tab w:val="left" w:pos="-1440"/>
              </w:tabs>
              <w:spacing w:before="120"/>
              <w:ind w:left="1701"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are located outside the Agricultural Land Reserve; </w:t>
            </w:r>
          </w:p>
          <w:p w14:paraId="79C22B71" w14:textId="77777777" w:rsidR="00AB0905" w:rsidRPr="00AB0905" w:rsidRDefault="00AB0905" w:rsidP="00DB096E">
            <w:pPr>
              <w:numPr>
                <w:ilvl w:val="0"/>
                <w:numId w:val="8"/>
              </w:numPr>
              <w:tabs>
                <w:tab w:val="left" w:pos="-1440"/>
              </w:tabs>
              <w:spacing w:before="120"/>
              <w:ind w:left="1701"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can accommodate on-site domestic water and sewage disposal, or have community water or sewer available; </w:t>
            </w:r>
          </w:p>
          <w:p w14:paraId="2909996B" w14:textId="77777777" w:rsidR="00AB0905" w:rsidRPr="00AB0905" w:rsidRDefault="00AB0905" w:rsidP="00DB096E">
            <w:pPr>
              <w:numPr>
                <w:ilvl w:val="0"/>
                <w:numId w:val="8"/>
              </w:numPr>
              <w:tabs>
                <w:tab w:val="left" w:pos="-1440"/>
              </w:tabs>
              <w:spacing w:before="120"/>
              <w:ind w:left="1701"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enhance adjacent land uses or the character of the existing area; </w:t>
            </w:r>
          </w:p>
          <w:p w14:paraId="704F7203" w14:textId="77777777" w:rsidR="00AB0905" w:rsidRPr="00AB0905" w:rsidRDefault="00AB0905" w:rsidP="00DB096E">
            <w:pPr>
              <w:numPr>
                <w:ilvl w:val="0"/>
                <w:numId w:val="8"/>
              </w:numPr>
              <w:tabs>
                <w:tab w:val="left" w:pos="-1440"/>
              </w:tabs>
              <w:spacing w:before="120"/>
              <w:ind w:left="1701"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can be accessed safely from local roads; </w:t>
            </w:r>
          </w:p>
          <w:p w14:paraId="32D5DC9E" w14:textId="77777777" w:rsidR="00AB0905" w:rsidRPr="00AB0905" w:rsidRDefault="00AB0905" w:rsidP="00DB096E">
            <w:pPr>
              <w:numPr>
                <w:ilvl w:val="0"/>
                <w:numId w:val="8"/>
              </w:numPr>
              <w:tabs>
                <w:tab w:val="left" w:pos="-1440"/>
              </w:tabs>
              <w:spacing w:before="120"/>
              <w:ind w:left="1701"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can be adequately serviced by emergency services, in particular fire protection; </w:t>
            </w:r>
          </w:p>
          <w:p w14:paraId="517D793B" w14:textId="77777777" w:rsidR="00AB0905" w:rsidRPr="00AB0905" w:rsidRDefault="00AB0905" w:rsidP="00DB096E">
            <w:pPr>
              <w:numPr>
                <w:ilvl w:val="0"/>
                <w:numId w:val="8"/>
              </w:numPr>
              <w:tabs>
                <w:tab w:val="left" w:pos="-1440"/>
              </w:tabs>
              <w:spacing w:before="120"/>
              <w:ind w:left="1701" w:right="176" w:hanging="425"/>
              <w:jc w:val="both"/>
              <w:rPr>
                <w:rFonts w:ascii="Calibri" w:eastAsia="Times New Roman" w:hAnsi="Calibri" w:cs="Calibri"/>
                <w:sz w:val="24"/>
                <w:szCs w:val="24"/>
              </w:rPr>
            </w:pPr>
            <w:r w:rsidRPr="00AB0905">
              <w:rPr>
                <w:rFonts w:ascii="Calibri" w:eastAsia="Times New Roman" w:hAnsi="Calibri" w:cs="Calibri"/>
                <w:sz w:val="24"/>
                <w:szCs w:val="24"/>
              </w:rPr>
              <w:t xml:space="preserve">meet any Watercourse or Environmentally Sensitive Development Permit Area requirements; </w:t>
            </w:r>
          </w:p>
          <w:p w14:paraId="3904F5B2" w14:textId="77777777" w:rsidR="003B5A88" w:rsidRDefault="003B5A88" w:rsidP="001E645B">
            <w:pPr>
              <w:keepNext/>
              <w:numPr>
                <w:ilvl w:val="1"/>
                <w:numId w:val="0"/>
              </w:numPr>
              <w:tabs>
                <w:tab w:val="num" w:pos="720"/>
                <w:tab w:val="num" w:pos="1002"/>
              </w:tabs>
              <w:jc w:val="both"/>
              <w:outlineLvl w:val="1"/>
              <w:rPr>
                <w:rFonts w:ascii="Calibri" w:eastAsia="Times New Roman" w:hAnsi="Calibri" w:cs="Arial"/>
                <w:b/>
                <w:bCs/>
                <w:iCs/>
                <w:sz w:val="24"/>
                <w:szCs w:val="24"/>
              </w:rPr>
            </w:pPr>
          </w:p>
        </w:tc>
        <w:tc>
          <w:tcPr>
            <w:tcW w:w="10795" w:type="dxa"/>
          </w:tcPr>
          <w:p w14:paraId="42E06BD9" w14:textId="36A68BEE" w:rsidR="00855AE0" w:rsidRPr="00855AE0" w:rsidRDefault="00AB0905" w:rsidP="00855AE0">
            <w:pPr>
              <w:keepNext/>
              <w:numPr>
                <w:ilvl w:val="1"/>
                <w:numId w:val="0"/>
              </w:numPr>
              <w:tabs>
                <w:tab w:val="num" w:pos="709"/>
              </w:tabs>
              <w:spacing w:before="240" w:after="60"/>
              <w:outlineLvl w:val="1"/>
              <w:rPr>
                <w:rFonts w:ascii="Calibri" w:eastAsia="Times New Roman" w:hAnsi="Calibri" w:cs="Calibri"/>
                <w:b/>
                <w:bCs/>
                <w:iCs/>
                <w:sz w:val="24"/>
                <w:szCs w:val="24"/>
              </w:rPr>
            </w:pPr>
            <w:bookmarkStart w:id="23" w:name="_Toc42860608"/>
            <w:bookmarkStart w:id="24" w:name="_Toc44540323"/>
            <w:bookmarkStart w:id="25" w:name="_Toc60663661"/>
            <w:bookmarkStart w:id="26" w:name="_Toc132709478"/>
            <w:r w:rsidRPr="00AB0905">
              <w:rPr>
                <w:rFonts w:ascii="Calibri" w:eastAsia="Times New Roman" w:hAnsi="Calibri" w:cs="Calibri"/>
                <w:b/>
                <w:bCs/>
                <w:iCs/>
                <w:sz w:val="24"/>
                <w:szCs w:val="24"/>
              </w:rPr>
              <w:t xml:space="preserve">13.4    </w:t>
            </w:r>
            <w:r w:rsidR="00855AE0" w:rsidRPr="00855AE0">
              <w:rPr>
                <w:rFonts w:ascii="Calibri" w:eastAsia="Times New Roman" w:hAnsi="Calibri" w:cs="Calibri"/>
                <w:b/>
                <w:bCs/>
                <w:iCs/>
                <w:sz w:val="24"/>
                <w:szCs w:val="24"/>
              </w:rPr>
              <w:t>Policies – Tourist Commercial</w:t>
            </w:r>
            <w:bookmarkEnd w:id="23"/>
            <w:bookmarkEnd w:id="24"/>
            <w:bookmarkEnd w:id="25"/>
            <w:bookmarkEnd w:id="26"/>
          </w:p>
          <w:p w14:paraId="36963C9F" w14:textId="77777777" w:rsidR="00855AE0" w:rsidRPr="00855AE0" w:rsidRDefault="00855AE0" w:rsidP="00855AE0">
            <w:pPr>
              <w:spacing w:before="120"/>
              <w:ind w:left="1260" w:hanging="540"/>
              <w:rPr>
                <w:rFonts w:ascii="Calibri" w:eastAsia="Times New Roman" w:hAnsi="Calibri" w:cs="Calibri"/>
                <w:spacing w:val="-5"/>
                <w:sz w:val="24"/>
                <w:szCs w:val="24"/>
              </w:rPr>
            </w:pPr>
            <w:r w:rsidRPr="00855AE0">
              <w:rPr>
                <w:rFonts w:ascii="Calibri" w:eastAsia="Times New Roman" w:hAnsi="Calibri" w:cs="Calibri"/>
                <w:spacing w:val="-5"/>
                <w:sz w:val="24"/>
                <w:szCs w:val="24"/>
              </w:rPr>
              <w:t>The Regional Board:</w:t>
            </w:r>
          </w:p>
          <w:p w14:paraId="3CA082F8" w14:textId="77777777" w:rsidR="00855AE0" w:rsidRPr="00855AE0" w:rsidRDefault="00855AE0" w:rsidP="00DB096E">
            <w:pPr>
              <w:widowControl w:val="0"/>
              <w:numPr>
                <w:ilvl w:val="0"/>
                <w:numId w:val="6"/>
              </w:numPr>
              <w:autoSpaceDE w:val="0"/>
              <w:autoSpaceDN w:val="0"/>
              <w:adjustRightInd w:val="0"/>
              <w:spacing w:before="120"/>
              <w:ind w:left="1066" w:hanging="357"/>
              <w:rPr>
                <w:rFonts w:ascii="Calibri" w:eastAsia="MS Mincho" w:hAnsi="Calibri" w:cs="Calibri"/>
                <w:sz w:val="24"/>
                <w:szCs w:val="24"/>
                <w:lang w:val="en-US"/>
              </w:rPr>
            </w:pPr>
            <w:r w:rsidRPr="00855AE0">
              <w:rPr>
                <w:rFonts w:ascii="Calibri" w:eastAsia="MS Mincho" w:hAnsi="Calibri" w:cs="Calibri"/>
                <w:sz w:val="24"/>
                <w:szCs w:val="24"/>
                <w:lang w:val="en-US"/>
              </w:rPr>
              <w:t xml:space="preserve">Supports the use of lands designated Commercial Tourist (CT) identified in Schedule ‘B’ </w:t>
            </w:r>
            <w:r w:rsidRPr="00855AE0">
              <w:rPr>
                <w:rFonts w:ascii="Calibri" w:eastAsia="MS Mincho" w:hAnsi="Calibri" w:cs="Calibri"/>
                <w:i/>
                <w:sz w:val="24"/>
                <w:szCs w:val="24"/>
                <w:lang w:val="en-US"/>
              </w:rPr>
              <w:t xml:space="preserve">Official Community Plan Map </w:t>
            </w:r>
            <w:r w:rsidRPr="00855AE0">
              <w:rPr>
                <w:rFonts w:ascii="Calibri" w:eastAsia="MS Mincho" w:hAnsi="Calibri" w:cs="Calibri"/>
                <w:sz w:val="24"/>
                <w:szCs w:val="24"/>
                <w:lang w:val="en-US"/>
              </w:rPr>
              <w:t xml:space="preserve">for </w:t>
            </w:r>
            <w:r w:rsidRPr="00855AE0">
              <w:rPr>
                <w:rFonts w:ascii="Calibri" w:eastAsia="Times New Roman" w:hAnsi="Calibri" w:cs="Calibri"/>
                <w:spacing w:val="-5"/>
                <w:sz w:val="24"/>
                <w:szCs w:val="24"/>
              </w:rPr>
              <w:t xml:space="preserve">commercial services and activities catering to visitors and tourists, including golf courses, campgrounds, </w:t>
            </w:r>
            <w:r w:rsidRPr="00855AE0">
              <w:rPr>
                <w:rFonts w:ascii="Calibri" w:eastAsia="Times New Roman" w:hAnsi="Calibri" w:cs="Arial"/>
                <w:spacing w:val="-5"/>
                <w:sz w:val="24"/>
                <w:szCs w:val="24"/>
              </w:rPr>
              <w:t xml:space="preserve">resorts, and </w:t>
            </w:r>
            <w:proofErr w:type="spellStart"/>
            <w:r w:rsidRPr="00855AE0">
              <w:rPr>
                <w:rFonts w:ascii="Calibri" w:eastAsia="Times New Roman" w:hAnsi="Calibri" w:cs="Arial"/>
                <w:spacing w:val="-5"/>
                <w:sz w:val="24"/>
                <w:szCs w:val="24"/>
              </w:rPr>
              <w:t>agri</w:t>
            </w:r>
            <w:proofErr w:type="spellEnd"/>
            <w:r w:rsidRPr="00855AE0">
              <w:rPr>
                <w:rFonts w:ascii="Calibri" w:eastAsia="Times New Roman" w:hAnsi="Calibri" w:cs="Arial"/>
                <w:spacing w:val="-5"/>
                <w:sz w:val="24"/>
                <w:szCs w:val="24"/>
              </w:rPr>
              <w:t>-tourism businesses, including fruit stands</w:t>
            </w:r>
            <w:r w:rsidRPr="00855AE0">
              <w:rPr>
                <w:rFonts w:ascii="Calibri" w:eastAsia="MS Mincho" w:hAnsi="Calibri" w:cs="Calibri"/>
                <w:sz w:val="24"/>
                <w:szCs w:val="24"/>
                <w:lang w:val="en-US"/>
              </w:rPr>
              <w:t>.</w:t>
            </w:r>
          </w:p>
          <w:p w14:paraId="74CD2A73" w14:textId="77777777" w:rsidR="00855AE0" w:rsidRPr="00855AE0" w:rsidRDefault="00855AE0" w:rsidP="00DB096E">
            <w:pPr>
              <w:widowControl w:val="0"/>
              <w:numPr>
                <w:ilvl w:val="0"/>
                <w:numId w:val="6"/>
              </w:numPr>
              <w:autoSpaceDE w:val="0"/>
              <w:autoSpaceDN w:val="0"/>
              <w:adjustRightInd w:val="0"/>
              <w:spacing w:before="120"/>
              <w:ind w:left="1066" w:hanging="357"/>
              <w:rPr>
                <w:rFonts w:ascii="Calibri" w:eastAsia="MS Mincho" w:hAnsi="Calibri" w:cs="Calibri"/>
                <w:sz w:val="24"/>
                <w:szCs w:val="24"/>
                <w:lang w:val="en-US"/>
              </w:rPr>
            </w:pPr>
            <w:r w:rsidRPr="00855AE0">
              <w:rPr>
                <w:rFonts w:ascii="Calibri" w:eastAsia="Times New Roman" w:hAnsi="Calibri" w:cs="Calibri"/>
                <w:spacing w:val="-5"/>
                <w:sz w:val="24"/>
                <w:szCs w:val="24"/>
              </w:rPr>
              <w:t xml:space="preserve">May support </w:t>
            </w:r>
            <w:r w:rsidRPr="00855AE0">
              <w:rPr>
                <w:rFonts w:ascii="Calibri" w:eastAsia="Times New Roman" w:hAnsi="Calibri" w:cs="Calibri"/>
                <w:sz w:val="24"/>
                <w:szCs w:val="24"/>
              </w:rPr>
              <w:t>open space recreation and resort commercial opportunities subject to rezoning, such as guest ranches, trail rides, campgrounds, and/or wilderness guides in areas designated as Resource Area (RA) or Large Holdings (LH) provided that development:</w:t>
            </w:r>
          </w:p>
          <w:p w14:paraId="7DE26D1E"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Times New Roman" w:hAnsi="Calibri" w:cs="Calibri"/>
                <w:spacing w:val="-5"/>
                <w:sz w:val="24"/>
                <w:szCs w:val="24"/>
              </w:rPr>
              <w:t xml:space="preserve">enhances local employment and diversify the economic base; </w:t>
            </w:r>
          </w:p>
          <w:p w14:paraId="7281151A"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MS Mincho" w:hAnsi="Calibri" w:cs="Calibri"/>
                <w:sz w:val="24"/>
                <w:szCs w:val="24"/>
                <w:lang w:val="en-US"/>
              </w:rPr>
              <w:t>are located outside the Agricultural Land Reserve (ALR);</w:t>
            </w:r>
          </w:p>
          <w:p w14:paraId="5D13745D"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MS Mincho" w:hAnsi="Calibri" w:cs="Calibri"/>
                <w:sz w:val="24"/>
                <w:szCs w:val="24"/>
                <w:lang w:val="en-US"/>
              </w:rPr>
              <w:t>c</w:t>
            </w:r>
            <w:r w:rsidRPr="00855AE0">
              <w:rPr>
                <w:rFonts w:ascii="Calibri" w:eastAsia="Times New Roman" w:hAnsi="Calibri" w:cs="Calibri"/>
                <w:spacing w:val="-5"/>
                <w:sz w:val="24"/>
                <w:szCs w:val="24"/>
              </w:rPr>
              <w:t>an accommodate on-site domestic water and communal sewage disposal, or have community water or sewer available;</w:t>
            </w:r>
          </w:p>
          <w:p w14:paraId="4E63FF9B"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Times New Roman" w:hAnsi="Calibri" w:cs="Calibri"/>
                <w:spacing w:val="-5"/>
                <w:sz w:val="24"/>
                <w:szCs w:val="24"/>
              </w:rPr>
              <w:t>enhances adjacent land uses or the character of the existing area;</w:t>
            </w:r>
          </w:p>
          <w:p w14:paraId="6D51C5C2"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Times New Roman" w:hAnsi="Calibri" w:cs="Calibri"/>
                <w:spacing w:val="-5"/>
                <w:sz w:val="24"/>
                <w:szCs w:val="24"/>
              </w:rPr>
              <w:t>can be accessed safely from local highways;</w:t>
            </w:r>
          </w:p>
          <w:p w14:paraId="751C8541"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Times New Roman" w:hAnsi="Calibri" w:cs="Calibri"/>
                <w:spacing w:val="-5"/>
                <w:sz w:val="24"/>
                <w:szCs w:val="24"/>
              </w:rPr>
              <w:t>can be adequately serviced by emergency services;</w:t>
            </w:r>
          </w:p>
          <w:p w14:paraId="62311076"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r w:rsidRPr="00855AE0">
              <w:rPr>
                <w:rFonts w:ascii="Calibri" w:eastAsia="Times New Roman" w:hAnsi="Calibri" w:cs="Calibri"/>
                <w:spacing w:val="-5"/>
                <w:sz w:val="24"/>
                <w:szCs w:val="24"/>
              </w:rPr>
              <w:t>meets any Watercourse or Environmentally Sensitive Development Permit Area requirements; and</w:t>
            </w:r>
          </w:p>
          <w:p w14:paraId="0F5176D5" w14:textId="77777777" w:rsidR="00855AE0" w:rsidRPr="00855AE0" w:rsidRDefault="00855AE0" w:rsidP="00DB096E">
            <w:pPr>
              <w:numPr>
                <w:ilvl w:val="0"/>
                <w:numId w:val="5"/>
              </w:numPr>
              <w:spacing w:before="120"/>
              <w:ind w:left="1559" w:hanging="357"/>
              <w:rPr>
                <w:rFonts w:ascii="Calibri" w:eastAsia="Times New Roman" w:hAnsi="Calibri" w:cs="Calibri"/>
                <w:spacing w:val="-5"/>
                <w:sz w:val="24"/>
                <w:szCs w:val="24"/>
              </w:rPr>
            </w:pPr>
            <w:proofErr w:type="gramStart"/>
            <w:r w:rsidRPr="00855AE0">
              <w:rPr>
                <w:rFonts w:ascii="Calibri" w:eastAsia="Times New Roman" w:hAnsi="Calibri" w:cs="Calibri"/>
                <w:spacing w:val="-5"/>
                <w:sz w:val="24"/>
                <w:szCs w:val="24"/>
              </w:rPr>
              <w:t>are</w:t>
            </w:r>
            <w:proofErr w:type="gramEnd"/>
            <w:r w:rsidRPr="00855AE0">
              <w:rPr>
                <w:rFonts w:ascii="Calibri" w:eastAsia="Times New Roman" w:hAnsi="Calibri" w:cs="Calibri"/>
                <w:spacing w:val="-5"/>
                <w:sz w:val="24"/>
                <w:szCs w:val="24"/>
              </w:rPr>
              <w:t xml:space="preserve"> outside areas susceptible to natural hazards, including steep slopes, flooding, soil instability, or rock fall.</w:t>
            </w:r>
          </w:p>
          <w:p w14:paraId="0E528EB3" w14:textId="05C8EBDB" w:rsidR="003B5A88" w:rsidRPr="00AB0905" w:rsidRDefault="003B5A88" w:rsidP="001E645B">
            <w:pPr>
              <w:keepNext/>
              <w:numPr>
                <w:ilvl w:val="1"/>
                <w:numId w:val="0"/>
              </w:numPr>
              <w:tabs>
                <w:tab w:val="num" w:pos="709"/>
              </w:tabs>
              <w:outlineLvl w:val="1"/>
              <w:rPr>
                <w:rFonts w:ascii="Calibri" w:eastAsia="Times New Roman" w:hAnsi="Calibri" w:cs="Calibri"/>
                <w:spacing w:val="-5"/>
                <w:sz w:val="24"/>
                <w:szCs w:val="24"/>
              </w:rPr>
            </w:pPr>
          </w:p>
        </w:tc>
      </w:tr>
    </w:tbl>
    <w:p w14:paraId="64AE4422" w14:textId="77777777" w:rsidR="00A54530" w:rsidRDefault="00B515D6"/>
    <w:sectPr w:rsidR="00A54530" w:rsidSect="003139FD">
      <w:headerReference w:type="default" r:id="rId7"/>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71BFC" w14:textId="77777777" w:rsidR="00B515D6" w:rsidRDefault="00B515D6" w:rsidP="00D63D78">
      <w:pPr>
        <w:spacing w:after="0" w:line="240" w:lineRule="auto"/>
      </w:pPr>
      <w:r>
        <w:separator/>
      </w:r>
    </w:p>
  </w:endnote>
  <w:endnote w:type="continuationSeparator" w:id="0">
    <w:p w14:paraId="36B1FC69" w14:textId="77777777" w:rsidR="00B515D6" w:rsidRDefault="00B515D6" w:rsidP="00D63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7BEB1" w14:textId="77777777" w:rsidR="00B515D6" w:rsidRDefault="00B515D6" w:rsidP="00D63D78">
      <w:pPr>
        <w:spacing w:after="0" w:line="240" w:lineRule="auto"/>
      </w:pPr>
      <w:r>
        <w:separator/>
      </w:r>
    </w:p>
  </w:footnote>
  <w:footnote w:type="continuationSeparator" w:id="0">
    <w:p w14:paraId="5D8A8510" w14:textId="77777777" w:rsidR="00B515D6" w:rsidRDefault="00B515D6" w:rsidP="00D63D78">
      <w:pPr>
        <w:spacing w:after="0" w:line="240" w:lineRule="auto"/>
      </w:pPr>
      <w:r>
        <w:continuationSeparator/>
      </w:r>
    </w:p>
  </w:footnote>
  <w:footnote w:id="1">
    <w:p w14:paraId="731BA86D" w14:textId="77777777" w:rsidR="00AB0905" w:rsidRPr="00AB0905" w:rsidRDefault="00AB0905" w:rsidP="00AB0905">
      <w:pPr>
        <w:pStyle w:val="FootnoteText"/>
        <w:rPr>
          <w:rFonts w:ascii="Calibri" w:hAnsi="Calibri" w:cs="Calibri"/>
          <w:sz w:val="16"/>
          <w:szCs w:val="16"/>
        </w:rPr>
      </w:pPr>
      <w:r w:rsidRPr="00AB0905">
        <w:rPr>
          <w:rStyle w:val="FootnoteReference"/>
          <w:rFonts w:ascii="Calibri" w:hAnsi="Calibri" w:cs="Calibri"/>
          <w:sz w:val="16"/>
          <w:szCs w:val="16"/>
        </w:rPr>
        <w:footnoteRef/>
      </w:r>
      <w:r w:rsidRPr="00AB0905">
        <w:rPr>
          <w:rFonts w:ascii="Calibri" w:hAnsi="Calibri" w:cs="Calibri"/>
          <w:sz w:val="16"/>
          <w:szCs w:val="16"/>
        </w:rPr>
        <w:t xml:space="preserve"> </w:t>
      </w:r>
      <w:r w:rsidRPr="00AB0905">
        <w:rPr>
          <w:rFonts w:ascii="Calibri" w:hAnsi="Calibri" w:cs="Calibri"/>
          <w:sz w:val="16"/>
          <w:szCs w:val="16"/>
          <w:lang w:val="en-US"/>
        </w:rPr>
        <w:t>Amendment Bylaw No. 2849, 2019 - adopted December 5,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E97FD" w14:textId="6E536789" w:rsidR="00E83746" w:rsidRPr="008B3F83" w:rsidRDefault="00E83746">
    <w:pPr>
      <w:pStyle w:val="Header"/>
      <w:rPr>
        <w:b/>
        <w:i/>
        <w:color w:val="FF0000"/>
        <w:sz w:val="24"/>
        <w:szCs w:val="24"/>
      </w:rPr>
    </w:pPr>
    <w:r w:rsidRPr="008B3F83">
      <w:rPr>
        <w:b/>
        <w:i/>
        <w:color w:val="FF0000"/>
        <w:sz w:val="24"/>
        <w:szCs w:val="24"/>
      </w:rPr>
      <w:t xml:space="preserve">NOTE:  Formatting may not be reflective of actual Bylaws (indenting, line spacing </w:t>
    </w:r>
    <w:proofErr w:type="spellStart"/>
    <w:r w:rsidRPr="008B3F83">
      <w:rPr>
        <w:b/>
        <w:i/>
        <w:color w:val="FF0000"/>
        <w:sz w:val="24"/>
        <w:szCs w:val="24"/>
      </w:rPr>
      <w:t>etc</w:t>
    </w:r>
    <w:proofErr w:type="spellEnd"/>
    <w:r w:rsidRPr="008B3F83">
      <w:rPr>
        <w:b/>
        <w:i/>
        <w:color w:val="FF0000"/>
        <w:sz w:val="24"/>
        <w:szCs w:val="24"/>
      </w:rPr>
      <w:t xml:space="preserve">)  </w:t>
    </w:r>
  </w:p>
  <w:p w14:paraId="5E19CA01" w14:textId="77777777" w:rsidR="00E83746" w:rsidRDefault="00E83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57D5F"/>
    <w:multiLevelType w:val="hybridMultilevel"/>
    <w:tmpl w:val="F716CE52"/>
    <w:lvl w:ilvl="0" w:tplc="E42E64FA">
      <w:start w:val="1"/>
      <w:numFmt w:val="decimal"/>
      <w:lvlText w:val=".%1"/>
      <w:lvlJc w:val="left"/>
      <w:pPr>
        <w:ind w:left="1080" w:hanging="360"/>
      </w:pPr>
      <w:rPr>
        <w:rFonts w:ascii="Calibri" w:hAnsi="Calibri" w:hint="default"/>
        <w:b w:val="0"/>
        <w:i w:val="0"/>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573D2"/>
    <w:multiLevelType w:val="hybridMultilevel"/>
    <w:tmpl w:val="19981FA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7EF5B62"/>
    <w:multiLevelType w:val="hybridMultilevel"/>
    <w:tmpl w:val="FC18D77A"/>
    <w:lvl w:ilvl="0" w:tplc="3914163A">
      <w:start w:val="1"/>
      <w:numFmt w:val="decimal"/>
      <w:lvlText w:val=".%1"/>
      <w:lvlJc w:val="left"/>
      <w:pPr>
        <w:ind w:left="1712"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2443776"/>
    <w:multiLevelType w:val="hybridMultilevel"/>
    <w:tmpl w:val="B23C2BF0"/>
    <w:lvl w:ilvl="0" w:tplc="39C6CF0E">
      <w:start w:val="1"/>
      <w:numFmt w:val="decimal"/>
      <w:lvlText w:val=".%1"/>
      <w:lvlJc w:val="left"/>
      <w:pPr>
        <w:ind w:left="1069" w:hanging="360"/>
      </w:pPr>
      <w:rPr>
        <w:rFonts w:ascii="Calibri" w:hAnsi="Calibri" w:hint="default"/>
        <w:b w:val="0"/>
        <w:i w:val="0"/>
        <w:sz w:val="24"/>
        <w:szCs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5" w15:restartNumberingAfterBreak="0">
    <w:nsid w:val="32634A39"/>
    <w:multiLevelType w:val="hybridMultilevel"/>
    <w:tmpl w:val="5CD034E4"/>
    <w:lvl w:ilvl="0" w:tplc="C28C1FC0">
      <w:start w:val="1"/>
      <w:numFmt w:val="decimal"/>
      <w:lvlText w:val=".%1"/>
      <w:lvlJc w:val="left"/>
      <w:pPr>
        <w:ind w:left="2279"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62C7451"/>
    <w:multiLevelType w:val="multilevel"/>
    <w:tmpl w:val="41BAE1F2"/>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F937B3E"/>
    <w:multiLevelType w:val="multilevel"/>
    <w:tmpl w:val="BB786716"/>
    <w:lvl w:ilvl="0">
      <w:start w:val="1"/>
      <w:numFmt w:val="decimal"/>
      <w:lvlText w:val=".%1"/>
      <w:lvlJc w:val="left"/>
      <w:pPr>
        <w:ind w:left="420" w:hanging="420"/>
      </w:pPr>
      <w:rPr>
        <w:rFonts w:hint="default"/>
        <w:b w:val="0"/>
        <w:sz w:val="24"/>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FC33E3"/>
    <w:multiLevelType w:val="hybridMultilevel"/>
    <w:tmpl w:val="AFCC9B90"/>
    <w:lvl w:ilvl="0" w:tplc="EB06EDF6">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7B31126"/>
    <w:multiLevelType w:val="hybridMultilevel"/>
    <w:tmpl w:val="3CC48A2A"/>
    <w:lvl w:ilvl="0" w:tplc="B5840ECA">
      <w:start w:val="1"/>
      <w:numFmt w:val="lowerLetter"/>
      <w:lvlText w:val="%1)"/>
      <w:lvlJc w:val="left"/>
      <w:pPr>
        <w:ind w:left="144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2"/>
  </w:num>
  <w:num w:numId="3">
    <w:abstractNumId w:val="8"/>
  </w:num>
  <w:num w:numId="4">
    <w:abstractNumId w:val="0"/>
  </w:num>
  <w:num w:numId="5">
    <w:abstractNumId w:val="1"/>
  </w:num>
  <w:num w:numId="6">
    <w:abstractNumId w:val="3"/>
  </w:num>
  <w:num w:numId="7">
    <w:abstractNumId w:val="5"/>
  </w:num>
  <w:num w:numId="8">
    <w:abstractNumId w:val="9"/>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9FD"/>
    <w:rsid w:val="00061DFA"/>
    <w:rsid w:val="00084444"/>
    <w:rsid w:val="00105136"/>
    <w:rsid w:val="00105609"/>
    <w:rsid w:val="001367EE"/>
    <w:rsid w:val="0016681C"/>
    <w:rsid w:val="00171C8E"/>
    <w:rsid w:val="001729EC"/>
    <w:rsid w:val="00180ED7"/>
    <w:rsid w:val="001E645B"/>
    <w:rsid w:val="00272BE6"/>
    <w:rsid w:val="002E5A0B"/>
    <w:rsid w:val="003139FD"/>
    <w:rsid w:val="0033047A"/>
    <w:rsid w:val="00367119"/>
    <w:rsid w:val="003851B6"/>
    <w:rsid w:val="003B5A88"/>
    <w:rsid w:val="004359D5"/>
    <w:rsid w:val="00572492"/>
    <w:rsid w:val="0058416A"/>
    <w:rsid w:val="005F3D07"/>
    <w:rsid w:val="006119B8"/>
    <w:rsid w:val="006D2321"/>
    <w:rsid w:val="007073B3"/>
    <w:rsid w:val="0071212C"/>
    <w:rsid w:val="00757F18"/>
    <w:rsid w:val="007B0893"/>
    <w:rsid w:val="007B5431"/>
    <w:rsid w:val="00855AE0"/>
    <w:rsid w:val="008563A3"/>
    <w:rsid w:val="008B3F83"/>
    <w:rsid w:val="00967F83"/>
    <w:rsid w:val="009B4417"/>
    <w:rsid w:val="00AB0905"/>
    <w:rsid w:val="00B515D6"/>
    <w:rsid w:val="00B549AE"/>
    <w:rsid w:val="00C12CC8"/>
    <w:rsid w:val="00C40F55"/>
    <w:rsid w:val="00CA5D14"/>
    <w:rsid w:val="00D63D78"/>
    <w:rsid w:val="00DB096E"/>
    <w:rsid w:val="00DB398E"/>
    <w:rsid w:val="00E03C8E"/>
    <w:rsid w:val="00E4526C"/>
    <w:rsid w:val="00E83746"/>
    <w:rsid w:val="00EC28AA"/>
    <w:rsid w:val="00EC5C9B"/>
    <w:rsid w:val="00F10CF5"/>
    <w:rsid w:val="00F12722"/>
    <w:rsid w:val="00FD1B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9BE5"/>
  <w15:chartTrackingRefBased/>
  <w15:docId w15:val="{D946C7A6-D8AD-4564-8E33-459E2C2F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9FD"/>
  </w:style>
  <w:style w:type="paragraph" w:styleId="Heading1">
    <w:name w:val="heading 1"/>
    <w:aliases w:val="Heading 1 (South Cariboo)"/>
    <w:basedOn w:val="Normal"/>
    <w:next w:val="Normal"/>
    <w:link w:val="Heading1Char"/>
    <w:qFormat/>
    <w:rsid w:val="003139FD"/>
    <w:pPr>
      <w:keepNext/>
      <w:spacing w:after="0" w:line="240" w:lineRule="auto"/>
      <w:jc w:val="center"/>
      <w:outlineLvl w:val="0"/>
    </w:pPr>
    <w:rPr>
      <w:rFonts w:ascii="Arial" w:eastAsia="Times New Roman" w:hAnsi="Arial" w:cs="Arial"/>
      <w:b/>
      <w:bCs/>
      <w:sz w:val="40"/>
      <w:szCs w:val="24"/>
    </w:rPr>
  </w:style>
  <w:style w:type="paragraph" w:styleId="Heading2">
    <w:name w:val="heading 2"/>
    <w:aliases w:val="Heading 2 (South Cariboo)"/>
    <w:basedOn w:val="Normal"/>
    <w:next w:val="Normal"/>
    <w:link w:val="Heading2Char"/>
    <w:unhideWhenUsed/>
    <w:qFormat/>
    <w:rsid w:val="003139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757F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1E645B"/>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1E645B"/>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1E645B"/>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1E645B"/>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1E645B"/>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1E645B"/>
    <w:pPr>
      <w:tabs>
        <w:tab w:val="num" w:pos="1584"/>
      </w:tabs>
      <w:spacing w:before="240" w:after="60" w:line="240" w:lineRule="auto"/>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uth Cariboo) Char"/>
    <w:basedOn w:val="DefaultParagraphFont"/>
    <w:link w:val="Heading1"/>
    <w:rsid w:val="003139FD"/>
    <w:rPr>
      <w:rFonts w:ascii="Arial" w:eastAsia="Times New Roman" w:hAnsi="Arial" w:cs="Arial"/>
      <w:b/>
      <w:bCs/>
      <w:sz w:val="40"/>
      <w:szCs w:val="24"/>
    </w:rPr>
  </w:style>
  <w:style w:type="character" w:customStyle="1" w:styleId="Heading2Char">
    <w:name w:val="Heading 2 Char"/>
    <w:aliases w:val="Heading 2 (South Cariboo) Char"/>
    <w:basedOn w:val="DefaultParagraphFont"/>
    <w:link w:val="Heading2"/>
    <w:uiPriority w:val="9"/>
    <w:rsid w:val="003139FD"/>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1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3139FD"/>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3139FD"/>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character" w:styleId="CommentReference">
    <w:name w:val="annotation reference"/>
    <w:uiPriority w:val="99"/>
    <w:rsid w:val="003139FD"/>
    <w:rPr>
      <w:sz w:val="16"/>
      <w:szCs w:val="16"/>
    </w:rPr>
  </w:style>
  <w:style w:type="paragraph" w:styleId="CommentText">
    <w:name w:val="annotation text"/>
    <w:basedOn w:val="Normal"/>
    <w:link w:val="CommentTextChar1"/>
    <w:uiPriority w:val="99"/>
    <w:rsid w:val="003139F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3139FD"/>
    <w:rPr>
      <w:sz w:val="20"/>
      <w:szCs w:val="20"/>
    </w:rPr>
  </w:style>
  <w:style w:type="character" w:customStyle="1" w:styleId="CommentTextChar1">
    <w:name w:val="Comment Text Char1"/>
    <w:basedOn w:val="DefaultParagraphFont"/>
    <w:link w:val="CommentText"/>
    <w:uiPriority w:val="99"/>
    <w:rsid w:val="003139FD"/>
    <w:rPr>
      <w:rFonts w:ascii="Times New Roman" w:eastAsia="Times New Roman" w:hAnsi="Times New Roman" w:cs="Times New Roman"/>
      <w:sz w:val="20"/>
      <w:szCs w:val="20"/>
    </w:rPr>
  </w:style>
  <w:style w:type="paragraph" w:styleId="List3">
    <w:name w:val="List 3"/>
    <w:basedOn w:val="Normal"/>
    <w:uiPriority w:val="99"/>
    <w:semiHidden/>
    <w:unhideWhenUsed/>
    <w:rsid w:val="003139FD"/>
    <w:pPr>
      <w:ind w:left="849" w:hanging="283"/>
      <w:contextualSpacing/>
    </w:pPr>
  </w:style>
  <w:style w:type="paragraph" w:styleId="BlockText">
    <w:name w:val="Block Text"/>
    <w:basedOn w:val="Normal"/>
    <w:uiPriority w:val="99"/>
    <w:semiHidden/>
    <w:unhideWhenUsed/>
    <w:rsid w:val="003139F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alloonText">
    <w:name w:val="Balloon Text"/>
    <w:basedOn w:val="Normal"/>
    <w:link w:val="BalloonTextChar"/>
    <w:uiPriority w:val="99"/>
    <w:semiHidden/>
    <w:unhideWhenUsed/>
    <w:rsid w:val="003139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9FD"/>
    <w:rPr>
      <w:rFonts w:ascii="Segoe UI" w:hAnsi="Segoe UI" w:cs="Segoe UI"/>
      <w:sz w:val="18"/>
      <w:szCs w:val="18"/>
    </w:rPr>
  </w:style>
  <w:style w:type="paragraph" w:styleId="FootnoteText">
    <w:name w:val="footnote text"/>
    <w:basedOn w:val="Normal"/>
    <w:link w:val="FootnoteTextChar"/>
    <w:semiHidden/>
    <w:rsid w:val="00D63D7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63D78"/>
    <w:rPr>
      <w:rFonts w:ascii="Times New Roman" w:eastAsia="Times New Roman" w:hAnsi="Times New Roman" w:cs="Times New Roman"/>
      <w:sz w:val="20"/>
      <w:szCs w:val="20"/>
    </w:rPr>
  </w:style>
  <w:style w:type="character" w:styleId="FootnoteReference">
    <w:name w:val="footnote reference"/>
    <w:semiHidden/>
    <w:rsid w:val="00D63D78"/>
    <w:rPr>
      <w:vertAlign w:val="superscript"/>
    </w:rPr>
  </w:style>
  <w:style w:type="paragraph" w:styleId="BodyText3">
    <w:name w:val="Body Text 3"/>
    <w:basedOn w:val="Normal"/>
    <w:link w:val="BodyText3Char"/>
    <w:rsid w:val="002E5A0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E5A0B"/>
    <w:rPr>
      <w:rFonts w:ascii="Times New Roman" w:eastAsia="Times New Roman" w:hAnsi="Times New Roman" w:cs="Times New Roman"/>
      <w:sz w:val="16"/>
      <w:szCs w:val="16"/>
    </w:rPr>
  </w:style>
  <w:style w:type="character" w:customStyle="1" w:styleId="Heading3Char">
    <w:name w:val="Heading 3 Char"/>
    <w:basedOn w:val="DefaultParagraphFont"/>
    <w:link w:val="Heading3"/>
    <w:uiPriority w:val="9"/>
    <w:semiHidden/>
    <w:rsid w:val="00757F18"/>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semiHidden/>
    <w:unhideWhenUsed/>
    <w:rsid w:val="00967F83"/>
    <w:pPr>
      <w:spacing w:after="120"/>
    </w:pPr>
  </w:style>
  <w:style w:type="character" w:customStyle="1" w:styleId="BodyTextChar">
    <w:name w:val="Body Text Char"/>
    <w:basedOn w:val="DefaultParagraphFont"/>
    <w:link w:val="BodyText"/>
    <w:uiPriority w:val="99"/>
    <w:semiHidden/>
    <w:rsid w:val="00967F83"/>
  </w:style>
  <w:style w:type="paragraph" w:styleId="Header">
    <w:name w:val="header"/>
    <w:basedOn w:val="Normal"/>
    <w:link w:val="HeaderChar"/>
    <w:uiPriority w:val="99"/>
    <w:unhideWhenUsed/>
    <w:rsid w:val="00E83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746"/>
  </w:style>
  <w:style w:type="paragraph" w:styleId="Footer">
    <w:name w:val="footer"/>
    <w:basedOn w:val="Normal"/>
    <w:link w:val="FooterChar"/>
    <w:uiPriority w:val="99"/>
    <w:unhideWhenUsed/>
    <w:rsid w:val="00E83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746"/>
  </w:style>
  <w:style w:type="character" w:customStyle="1" w:styleId="Heading4Char">
    <w:name w:val="Heading 4 Char"/>
    <w:basedOn w:val="DefaultParagraphFont"/>
    <w:link w:val="Heading4"/>
    <w:rsid w:val="001E645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1E645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1E645B"/>
    <w:rPr>
      <w:rFonts w:ascii="Times New Roman" w:eastAsia="Times New Roman" w:hAnsi="Times New Roman" w:cs="Times New Roman"/>
      <w:b/>
      <w:bCs/>
    </w:rPr>
  </w:style>
  <w:style w:type="character" w:customStyle="1" w:styleId="Heading7Char">
    <w:name w:val="Heading 7 Char"/>
    <w:basedOn w:val="DefaultParagraphFont"/>
    <w:link w:val="Heading7"/>
    <w:rsid w:val="001E645B"/>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1E645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1E645B"/>
    <w:rPr>
      <w:rFonts w:ascii="Arial" w:eastAsia="Times New Roman" w:hAnsi="Arial" w:cs="Arial"/>
    </w:rPr>
  </w:style>
  <w:style w:type="paragraph" w:styleId="ListParagraph">
    <w:name w:val="List Paragraph"/>
    <w:basedOn w:val="Normal"/>
    <w:uiPriority w:val="34"/>
    <w:qFormat/>
    <w:rsid w:val="001E6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48076">
      <w:bodyDiv w:val="1"/>
      <w:marLeft w:val="0"/>
      <w:marRight w:val="0"/>
      <w:marTop w:val="0"/>
      <w:marBottom w:val="0"/>
      <w:divBdr>
        <w:top w:val="none" w:sz="0" w:space="0" w:color="auto"/>
        <w:left w:val="none" w:sz="0" w:space="0" w:color="auto"/>
        <w:bottom w:val="none" w:sz="0" w:space="0" w:color="auto"/>
        <w:right w:val="none" w:sz="0" w:space="0" w:color="auto"/>
      </w:divBdr>
    </w:div>
    <w:div w:id="17664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7</cp:revision>
  <dcterms:created xsi:type="dcterms:W3CDTF">2023-04-27T17:30:00Z</dcterms:created>
  <dcterms:modified xsi:type="dcterms:W3CDTF">2023-05-25T18:39:00Z</dcterms:modified>
</cp:coreProperties>
</file>